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9418D" w:rsidRDefault="00627454">
      <w:pPr>
        <w:pStyle w:val="Podtytu"/>
        <w:rPr>
          <w:rFonts w:ascii="Corbel" w:hAnsi="Corbel"/>
          <w:sz w:val="72"/>
        </w:rPr>
      </w:pPr>
      <w:bookmarkStart w:id="0" w:name="_Hlk487785372"/>
      <w:bookmarkEnd w:id="0"/>
      <w:r w:rsidRPr="002048BE">
        <w:rPr>
          <w:rFonts w:ascii="Corbel" w:hAnsi="Corbel"/>
          <w:sz w:val="72"/>
        </w:rPr>
        <w:t xml:space="preserve">Migracje artystyczne </w:t>
      </w:r>
    </w:p>
    <w:p w:rsidR="00627454" w:rsidRDefault="00863E2E">
      <w:pPr>
        <w:pStyle w:val="Podtytu"/>
        <w:rPr>
          <w:rFonts w:ascii="Corbel" w:hAnsi="Corbel"/>
          <w:sz w:val="72"/>
        </w:rPr>
      </w:pPr>
      <w:r>
        <w:rPr>
          <w:rFonts w:ascii="Corbel" w:hAnsi="Corbel"/>
          <w:sz w:val="72"/>
        </w:rPr>
        <w:t>w</w:t>
      </w:r>
      <w:r w:rsidR="00B9418D">
        <w:rPr>
          <w:rFonts w:ascii="Corbel" w:hAnsi="Corbel"/>
          <w:sz w:val="72"/>
        </w:rPr>
        <w:t xml:space="preserve"> </w:t>
      </w:r>
      <w:r w:rsidR="00627454" w:rsidRPr="002048BE">
        <w:rPr>
          <w:rFonts w:ascii="Corbel" w:hAnsi="Corbel"/>
          <w:sz w:val="72"/>
        </w:rPr>
        <w:t>XIX, XX i XXI wie</w:t>
      </w:r>
      <w:r w:rsidR="00B9418D">
        <w:rPr>
          <w:rFonts w:ascii="Corbel" w:hAnsi="Corbel"/>
          <w:sz w:val="72"/>
        </w:rPr>
        <w:t>ku</w:t>
      </w:r>
    </w:p>
    <w:p w:rsidR="005C6D45" w:rsidRPr="00895090" w:rsidRDefault="00627454">
      <w:pPr>
        <w:pStyle w:val="Podtytu"/>
        <w:rPr>
          <w:noProof/>
        </w:rPr>
      </w:pPr>
      <w:r>
        <w:rPr>
          <w:noProof/>
          <w:lang w:bidi="pl-PL"/>
        </w:rPr>
        <w:t>Interdyscyplinarne seminarium IS PAN</w:t>
      </w:r>
    </w:p>
    <w:p w:rsidR="004F6481" w:rsidRDefault="004F6481" w:rsidP="00627454">
      <w:pPr>
        <w:rPr>
          <w:noProof/>
          <w:sz w:val="28"/>
          <w:lang w:bidi="pl-PL"/>
        </w:rPr>
      </w:pPr>
    </w:p>
    <w:p w:rsidR="00627454" w:rsidRPr="004F6481" w:rsidRDefault="00627454" w:rsidP="00C417BF">
      <w:pPr>
        <w:jc w:val="both"/>
        <w:rPr>
          <w:noProof/>
          <w:sz w:val="24"/>
          <w:lang w:bidi="pl-PL"/>
        </w:rPr>
      </w:pPr>
      <w:r w:rsidRPr="004F6481">
        <w:rPr>
          <w:noProof/>
          <w:sz w:val="24"/>
          <w:lang w:bidi="pl-PL"/>
        </w:rPr>
        <w:t>Celem spotkań jest wspólny namysł nad przepływ</w:t>
      </w:r>
      <w:r w:rsidR="004F6481" w:rsidRPr="004F6481">
        <w:rPr>
          <w:noProof/>
          <w:sz w:val="24"/>
          <w:lang w:bidi="pl-PL"/>
        </w:rPr>
        <w:t>ami i migracjami ludzi, dzieł i </w:t>
      </w:r>
      <w:r w:rsidRPr="004F6481">
        <w:rPr>
          <w:noProof/>
          <w:sz w:val="24"/>
          <w:lang w:bidi="pl-PL"/>
        </w:rPr>
        <w:t>idei, także poszukiwanie i wypróbowywanie różnych metod i języków badawczych, dzięki którym można o tego rodzaju zjawiskach rozmawiać w</w:t>
      </w:r>
      <w:r w:rsidR="004F6481" w:rsidRPr="004F6481">
        <w:rPr>
          <w:noProof/>
          <w:sz w:val="24"/>
          <w:lang w:bidi="pl-PL"/>
        </w:rPr>
        <w:t> </w:t>
      </w:r>
      <w:r w:rsidRPr="004F6481">
        <w:rPr>
          <w:noProof/>
          <w:sz w:val="24"/>
          <w:lang w:bidi="pl-PL"/>
        </w:rPr>
        <w:t xml:space="preserve">interdyscyplinarnym gronie. </w:t>
      </w:r>
    </w:p>
    <w:p w:rsidR="004F6481" w:rsidRDefault="00627454" w:rsidP="00C417BF">
      <w:pPr>
        <w:jc w:val="both"/>
        <w:rPr>
          <w:iCs/>
          <w:noProof/>
          <w:sz w:val="24"/>
          <w:lang w:val="it-IT" w:bidi="pl-PL"/>
        </w:rPr>
      </w:pPr>
      <w:r w:rsidRPr="004F6481">
        <w:rPr>
          <w:iCs/>
          <w:noProof/>
          <w:sz w:val="24"/>
          <w:lang w:val="it-IT" w:bidi="pl-PL"/>
        </w:rPr>
        <w:t xml:space="preserve">Spotkania koordynują: </w:t>
      </w:r>
    </w:p>
    <w:p w:rsidR="00627454" w:rsidRPr="004F6481" w:rsidRDefault="00627454" w:rsidP="00C417BF">
      <w:pPr>
        <w:jc w:val="both"/>
        <w:rPr>
          <w:iCs/>
          <w:noProof/>
          <w:sz w:val="24"/>
          <w:lang w:val="it-IT" w:bidi="pl-PL"/>
        </w:rPr>
      </w:pPr>
      <w:r w:rsidRPr="004F6481">
        <w:rPr>
          <w:iCs/>
          <w:noProof/>
          <w:sz w:val="24"/>
          <w:lang w:val="it-IT" w:bidi="pl-PL"/>
        </w:rPr>
        <w:t>dr hab. Beata Bolesławska-Lewandowska, prof. IS PAN  i</w:t>
      </w:r>
      <w:r w:rsidR="00742056" w:rsidRPr="004F6481">
        <w:rPr>
          <w:iCs/>
          <w:noProof/>
          <w:sz w:val="24"/>
          <w:lang w:val="it-IT" w:bidi="pl-PL"/>
        </w:rPr>
        <w:t> </w:t>
      </w:r>
      <w:r w:rsidRPr="004F6481">
        <w:rPr>
          <w:iCs/>
          <w:noProof/>
          <w:sz w:val="24"/>
          <w:lang w:val="it-IT" w:bidi="pl-PL"/>
        </w:rPr>
        <w:t>dr hab. Jolanta Guzy-Pasiak (Zakład Muzykologii</w:t>
      </w:r>
      <w:r w:rsidR="004F6481" w:rsidRPr="004F6481">
        <w:rPr>
          <w:iCs/>
          <w:noProof/>
          <w:sz w:val="24"/>
          <w:lang w:val="it-IT" w:bidi="pl-PL"/>
        </w:rPr>
        <w:t xml:space="preserve"> IS PAN</w:t>
      </w:r>
      <w:r w:rsidR="00C417BF">
        <w:rPr>
          <w:iCs/>
          <w:noProof/>
          <w:sz w:val="24"/>
          <w:lang w:val="it-IT" w:bidi="pl-PL"/>
        </w:rPr>
        <w:t xml:space="preserve"> – Muzyka polska za granicą)</w:t>
      </w:r>
    </w:p>
    <w:p w:rsidR="00617D63" w:rsidRPr="00895090" w:rsidRDefault="00617D63">
      <w:pPr>
        <w:rPr>
          <w:noProof/>
        </w:rPr>
      </w:pPr>
    </w:p>
    <w:p w:rsidR="00742056" w:rsidRPr="00C417BF" w:rsidRDefault="00627454" w:rsidP="00C37E18">
      <w:pPr>
        <w:pStyle w:val="Wyprbujstandardowy"/>
        <w:ind w:left="0"/>
        <w:rPr>
          <w:bCs/>
          <w:i w:val="0"/>
          <w:iCs/>
          <w:noProof/>
          <w:sz w:val="24"/>
          <w:lang w:val="it-IT" w:bidi="pl-PL"/>
        </w:rPr>
      </w:pPr>
      <w:r w:rsidRPr="00C417BF">
        <w:rPr>
          <w:bCs/>
          <w:i w:val="0"/>
          <w:iCs/>
          <w:noProof/>
          <w:sz w:val="24"/>
          <w:lang w:val="it-IT" w:bidi="pl-PL"/>
        </w:rPr>
        <w:t xml:space="preserve">Terminy spotkań </w:t>
      </w:r>
      <w:r w:rsidR="003B1CFF">
        <w:rPr>
          <w:bCs/>
          <w:i w:val="0"/>
          <w:iCs/>
          <w:noProof/>
          <w:sz w:val="24"/>
          <w:lang w:val="it-IT" w:bidi="pl-PL"/>
        </w:rPr>
        <w:t xml:space="preserve">(online) </w:t>
      </w:r>
      <w:r w:rsidRPr="00C417BF">
        <w:rPr>
          <w:bCs/>
          <w:i w:val="0"/>
          <w:iCs/>
          <w:noProof/>
          <w:sz w:val="24"/>
          <w:lang w:val="it-IT" w:bidi="pl-PL"/>
        </w:rPr>
        <w:t xml:space="preserve">w roku akademickim 2022/2023: </w:t>
      </w:r>
    </w:p>
    <w:p w:rsidR="00627454" w:rsidRPr="001C5DE9" w:rsidRDefault="00627454" w:rsidP="00C37E18">
      <w:pPr>
        <w:pStyle w:val="Wyprbujstandardowy"/>
        <w:ind w:left="0"/>
        <w:rPr>
          <w:b/>
          <w:bCs/>
          <w:i w:val="0"/>
          <w:iCs/>
          <w:noProof/>
          <w:sz w:val="24"/>
          <w:lang w:val="it-IT" w:bidi="pl-PL"/>
        </w:rPr>
      </w:pPr>
      <w:r w:rsidRPr="001C5DE9">
        <w:rPr>
          <w:b/>
          <w:bCs/>
          <w:i w:val="0"/>
          <w:iCs/>
          <w:noProof/>
          <w:sz w:val="24"/>
          <w:lang w:val="it-IT" w:bidi="pl-PL"/>
        </w:rPr>
        <w:t xml:space="preserve">25 X 2022, 29 XI 2022, 31 I 2023, 28 II 2023, 28 III 2023, 25 IV 2023, </w:t>
      </w:r>
      <w:r w:rsidR="004E1C8A" w:rsidRPr="001C5DE9">
        <w:rPr>
          <w:b/>
          <w:bCs/>
          <w:i w:val="0"/>
          <w:iCs/>
          <w:noProof/>
          <w:sz w:val="24"/>
          <w:lang w:val="it-IT" w:bidi="pl-PL"/>
        </w:rPr>
        <w:t>27 VI 2023</w:t>
      </w:r>
    </w:p>
    <w:p w:rsidR="005C6D45" w:rsidRDefault="005C6D45" w:rsidP="00263938">
      <w:pPr>
        <w:pStyle w:val="Wyprbujstandardowy"/>
        <w:rPr>
          <w:noProof/>
        </w:rPr>
      </w:pPr>
    </w:p>
    <w:p w:rsidR="00627454" w:rsidRPr="00C417BF" w:rsidRDefault="00627454" w:rsidP="00C417BF">
      <w:pPr>
        <w:pStyle w:val="Nagwekspisutreci"/>
      </w:pPr>
      <w:r w:rsidRPr="00C417BF">
        <w:t xml:space="preserve">Spis </w:t>
      </w:r>
      <w:r w:rsidR="00625976" w:rsidRPr="00C417BF">
        <w:t>tematów seminariów</w:t>
      </w:r>
      <w:bookmarkStart w:id="1" w:name="_GoBack"/>
      <w:bookmarkEnd w:id="1"/>
    </w:p>
    <w:p w:rsidR="00827F26" w:rsidRDefault="00627454" w:rsidP="001C5DE9">
      <w:pPr>
        <w:pStyle w:val="Spistreci1"/>
        <w:numPr>
          <w:ilvl w:val="0"/>
          <w:numId w:val="37"/>
        </w:numPr>
        <w:tabs>
          <w:tab w:val="right" w:leader="dot" w:pos="9016"/>
        </w:tabs>
        <w:rPr>
          <w:rFonts w:asciiTheme="minorHAnsi" w:eastAsiaTheme="minorEastAsia" w:hAnsiTheme="minorHAnsi" w:cstheme="minorBidi"/>
          <w:lang w:eastAsia="pl-PL"/>
        </w:rPr>
      </w:pPr>
      <w:r w:rsidRPr="00712217">
        <w:rPr>
          <w:rFonts w:cs="Calibri Light"/>
        </w:rPr>
        <w:fldChar w:fldCharType="begin"/>
      </w:r>
      <w:r w:rsidRPr="00712217">
        <w:rPr>
          <w:rFonts w:cs="Calibri Light"/>
        </w:rPr>
        <w:instrText xml:space="preserve"> TOC \o "1-3" \h \z \u </w:instrText>
      </w:r>
      <w:r w:rsidRPr="00712217">
        <w:rPr>
          <w:rFonts w:cs="Calibri Light"/>
        </w:rPr>
        <w:fldChar w:fldCharType="separate"/>
      </w:r>
      <w:hyperlink w:anchor="_Toc132624651" w:history="1">
        <w:r w:rsidR="00827F26" w:rsidRPr="00247A69">
          <w:rPr>
            <w:rStyle w:val="Hipercze"/>
          </w:rPr>
          <w:t>Beata Bolesławska-Lewandowska (IS PAN), Kompozytorzy polscy w kręgu emigracji politycznej po II wojnie światowej</w:t>
        </w:r>
        <w:r w:rsidR="00827F26">
          <w:rPr>
            <w:webHidden/>
          </w:rPr>
          <w:tab/>
        </w:r>
        <w:r w:rsidR="00827F26">
          <w:rPr>
            <w:webHidden/>
          </w:rPr>
          <w:fldChar w:fldCharType="begin"/>
        </w:r>
        <w:r w:rsidR="00827F26">
          <w:rPr>
            <w:webHidden/>
          </w:rPr>
          <w:instrText xml:space="preserve"> PAGEREF _Toc132624651 \h </w:instrText>
        </w:r>
        <w:r w:rsidR="00827F26">
          <w:rPr>
            <w:webHidden/>
          </w:rPr>
        </w:r>
        <w:r w:rsidR="00827F26">
          <w:rPr>
            <w:webHidden/>
          </w:rPr>
          <w:fldChar w:fldCharType="separate"/>
        </w:r>
        <w:r w:rsidR="00827F26">
          <w:rPr>
            <w:webHidden/>
          </w:rPr>
          <w:t>3</w:t>
        </w:r>
        <w:r w:rsidR="00827F26">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52" w:history="1">
        <w:r w:rsidRPr="00247A69">
          <w:rPr>
            <w:rStyle w:val="Hipercze"/>
          </w:rPr>
          <w:t>Jolanta Guzy-Pasiak (IS PAN), Problemy</w:t>
        </w:r>
        <w:r w:rsidRPr="00247A69">
          <w:rPr>
            <w:rStyle w:val="Hipercze"/>
            <w:lang w:bidi="pl-PL"/>
          </w:rPr>
          <w:t xml:space="preserve"> w badaniach nad kompozytorami emigracyjnymi I połowy XX wieku</w:t>
        </w:r>
        <w:r>
          <w:rPr>
            <w:webHidden/>
          </w:rPr>
          <w:tab/>
        </w:r>
        <w:r>
          <w:rPr>
            <w:webHidden/>
          </w:rPr>
          <w:fldChar w:fldCharType="begin"/>
        </w:r>
        <w:r>
          <w:rPr>
            <w:webHidden/>
          </w:rPr>
          <w:instrText xml:space="preserve"> PAGEREF _Toc132624652 \h </w:instrText>
        </w:r>
        <w:r>
          <w:rPr>
            <w:webHidden/>
          </w:rPr>
        </w:r>
        <w:r>
          <w:rPr>
            <w:webHidden/>
          </w:rPr>
          <w:fldChar w:fldCharType="separate"/>
        </w:r>
        <w:r>
          <w:rPr>
            <w:webHidden/>
          </w:rPr>
          <w:t>3</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53" w:history="1">
        <w:r w:rsidRPr="00247A69">
          <w:rPr>
            <w:rStyle w:val="Hipercze"/>
            <w:rFonts w:cs="Times New Roman"/>
            <w:lang w:bidi="pl-PL"/>
          </w:rPr>
          <w:t>Ewa Fiuk (</w:t>
        </w:r>
        <w:r w:rsidRPr="00247A69">
          <w:rPr>
            <w:rStyle w:val="Hipercze"/>
          </w:rPr>
          <w:t>IS PAN), Filmowe przestrzenie i kody migracji</w:t>
        </w:r>
        <w:r>
          <w:rPr>
            <w:webHidden/>
          </w:rPr>
          <w:tab/>
        </w:r>
        <w:r>
          <w:rPr>
            <w:webHidden/>
          </w:rPr>
          <w:fldChar w:fldCharType="begin"/>
        </w:r>
        <w:r>
          <w:rPr>
            <w:webHidden/>
          </w:rPr>
          <w:instrText xml:space="preserve"> PAGEREF _Toc132624653 \h </w:instrText>
        </w:r>
        <w:r>
          <w:rPr>
            <w:webHidden/>
          </w:rPr>
        </w:r>
        <w:r>
          <w:rPr>
            <w:webHidden/>
          </w:rPr>
          <w:fldChar w:fldCharType="separate"/>
        </w:r>
        <w:r>
          <w:rPr>
            <w:webHidden/>
          </w:rPr>
          <w:t>3</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54" w:history="1">
        <w:r w:rsidRPr="00247A69">
          <w:rPr>
            <w:rStyle w:val="Hipercze"/>
            <w:lang w:bidi="pl-PL"/>
          </w:rPr>
          <w:t xml:space="preserve">Joanna Kocemba-Żebrowska (IS PAN), </w:t>
        </w:r>
        <w:r w:rsidRPr="00247A69">
          <w:rPr>
            <w:rStyle w:val="Hipercze"/>
          </w:rPr>
          <w:t>Cudzoziemcy na wsi. Kolędowanie Teatru Węgajty</w:t>
        </w:r>
        <w:r>
          <w:rPr>
            <w:webHidden/>
          </w:rPr>
          <w:tab/>
        </w:r>
        <w:r>
          <w:rPr>
            <w:webHidden/>
          </w:rPr>
          <w:fldChar w:fldCharType="begin"/>
        </w:r>
        <w:r>
          <w:rPr>
            <w:webHidden/>
          </w:rPr>
          <w:instrText xml:space="preserve"> PAGEREF _Toc132624654 \h </w:instrText>
        </w:r>
        <w:r>
          <w:rPr>
            <w:webHidden/>
          </w:rPr>
        </w:r>
        <w:r>
          <w:rPr>
            <w:webHidden/>
          </w:rPr>
          <w:fldChar w:fldCharType="separate"/>
        </w:r>
        <w:r>
          <w:rPr>
            <w:webHidden/>
          </w:rPr>
          <w:t>4</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55" w:history="1">
        <w:r w:rsidRPr="00247A69">
          <w:rPr>
            <w:rStyle w:val="Hipercze"/>
          </w:rPr>
          <w:t>Karolina Łabowicz-Dymanus (IS PAN), Globalne kontakty w PRL-u. Wymiana artystyczna z tzw. Krajami Trzeciego Świata w latach 1950–tych</w:t>
        </w:r>
        <w:r>
          <w:rPr>
            <w:webHidden/>
          </w:rPr>
          <w:tab/>
        </w:r>
        <w:r>
          <w:rPr>
            <w:webHidden/>
          </w:rPr>
          <w:fldChar w:fldCharType="begin"/>
        </w:r>
        <w:r>
          <w:rPr>
            <w:webHidden/>
          </w:rPr>
          <w:instrText xml:space="preserve"> PAGEREF _Toc132624655 \h </w:instrText>
        </w:r>
        <w:r>
          <w:rPr>
            <w:webHidden/>
          </w:rPr>
        </w:r>
        <w:r>
          <w:rPr>
            <w:webHidden/>
          </w:rPr>
          <w:fldChar w:fldCharType="separate"/>
        </w:r>
        <w:r>
          <w:rPr>
            <w:webHidden/>
          </w:rPr>
          <w:t>4</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56" w:history="1">
        <w:r w:rsidRPr="00247A69">
          <w:rPr>
            <w:rStyle w:val="Hipercze"/>
          </w:rPr>
          <w:t xml:space="preserve">Izabela Kopania (IS PAN), </w:t>
        </w:r>
        <w:r w:rsidRPr="00247A69">
          <w:rPr>
            <w:rStyle w:val="Hipercze"/>
            <w:lang w:bidi="pl-PL"/>
          </w:rPr>
          <w:t xml:space="preserve">Zapożyczenia – reinterpretacje – </w:t>
        </w:r>
        <w:r w:rsidRPr="00247A69">
          <w:rPr>
            <w:rStyle w:val="Hipercze"/>
          </w:rPr>
          <w:t>hybrydyzacje</w:t>
        </w:r>
        <w:r w:rsidRPr="00247A69">
          <w:rPr>
            <w:rStyle w:val="Hipercze"/>
            <w:lang w:bidi="pl-PL"/>
          </w:rPr>
          <w:t xml:space="preserve">. Rzeczy w przestrzeni </w:t>
        </w:r>
        <w:r w:rsidRPr="00247A69">
          <w:rPr>
            <w:rStyle w:val="Hipercze"/>
          </w:rPr>
          <w:t>kontaktów</w:t>
        </w:r>
        <w:r w:rsidRPr="00247A69">
          <w:rPr>
            <w:rStyle w:val="Hipercze"/>
            <w:lang w:bidi="pl-PL"/>
          </w:rPr>
          <w:t xml:space="preserve"> między krajami europejskimi a krajami Dalekiego Wschodu w dobie nowożytnej</w:t>
        </w:r>
        <w:r>
          <w:rPr>
            <w:webHidden/>
          </w:rPr>
          <w:tab/>
        </w:r>
        <w:r>
          <w:rPr>
            <w:webHidden/>
          </w:rPr>
          <w:fldChar w:fldCharType="begin"/>
        </w:r>
        <w:r>
          <w:rPr>
            <w:webHidden/>
          </w:rPr>
          <w:instrText xml:space="preserve"> PAGEREF _Toc132624656 \h </w:instrText>
        </w:r>
        <w:r>
          <w:rPr>
            <w:webHidden/>
          </w:rPr>
        </w:r>
        <w:r>
          <w:rPr>
            <w:webHidden/>
          </w:rPr>
          <w:fldChar w:fldCharType="separate"/>
        </w:r>
        <w:r>
          <w:rPr>
            <w:webHidden/>
          </w:rPr>
          <w:t>5</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57" w:history="1">
        <w:r w:rsidRPr="00247A69">
          <w:rPr>
            <w:rStyle w:val="Hipercze"/>
          </w:rPr>
          <w:t>Magdalena Hasiuk-Świerzbińska (IS PAN), Wyprawy Teatru Węgajty 1986–2019 – spotkania teatralne na pograniczach</w:t>
        </w:r>
        <w:r>
          <w:rPr>
            <w:webHidden/>
          </w:rPr>
          <w:tab/>
        </w:r>
        <w:r>
          <w:rPr>
            <w:webHidden/>
          </w:rPr>
          <w:fldChar w:fldCharType="begin"/>
        </w:r>
        <w:r>
          <w:rPr>
            <w:webHidden/>
          </w:rPr>
          <w:instrText xml:space="preserve"> PAGEREF _Toc132624657 \h </w:instrText>
        </w:r>
        <w:r>
          <w:rPr>
            <w:webHidden/>
          </w:rPr>
        </w:r>
        <w:r>
          <w:rPr>
            <w:webHidden/>
          </w:rPr>
          <w:fldChar w:fldCharType="separate"/>
        </w:r>
        <w:r>
          <w:rPr>
            <w:webHidden/>
          </w:rPr>
          <w:t>5</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58" w:history="1">
        <w:r w:rsidRPr="00247A69">
          <w:rPr>
            <w:rStyle w:val="Hipercze"/>
          </w:rPr>
          <w:t>Jolanta Guzy-Pasiak (IS PAN), Beata Bolesławska-Lewandowska (IS PAN), Migracje spuścizn kompozytorów polskich</w:t>
        </w:r>
        <w:r>
          <w:rPr>
            <w:webHidden/>
          </w:rPr>
          <w:tab/>
        </w:r>
        <w:r>
          <w:rPr>
            <w:webHidden/>
          </w:rPr>
          <w:fldChar w:fldCharType="begin"/>
        </w:r>
        <w:r>
          <w:rPr>
            <w:webHidden/>
          </w:rPr>
          <w:instrText xml:space="preserve"> PAGEREF _Toc132624658 \h </w:instrText>
        </w:r>
        <w:r>
          <w:rPr>
            <w:webHidden/>
          </w:rPr>
        </w:r>
        <w:r>
          <w:rPr>
            <w:webHidden/>
          </w:rPr>
          <w:fldChar w:fldCharType="separate"/>
        </w:r>
        <w:r>
          <w:rPr>
            <w:webHidden/>
          </w:rPr>
          <w:t>6</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59" w:history="1">
        <w:r w:rsidRPr="00247A69">
          <w:rPr>
            <w:rStyle w:val="Hipercze"/>
          </w:rPr>
          <w:t>Weronika Grozdew-Kołacińska (IS PAN), Swoje = obce / obce = swoje? Śpiew jako wędrowiec, czyli o transferze, granicach, doświadczaniu i tożsamości z polsko-bułgarskiej perspektywy</w:t>
        </w:r>
        <w:r>
          <w:rPr>
            <w:webHidden/>
          </w:rPr>
          <w:tab/>
        </w:r>
        <w:r>
          <w:rPr>
            <w:webHidden/>
          </w:rPr>
          <w:fldChar w:fldCharType="begin"/>
        </w:r>
        <w:r>
          <w:rPr>
            <w:webHidden/>
          </w:rPr>
          <w:instrText xml:space="preserve"> PAGEREF _Toc132624659 \h </w:instrText>
        </w:r>
        <w:r>
          <w:rPr>
            <w:webHidden/>
          </w:rPr>
        </w:r>
        <w:r>
          <w:rPr>
            <w:webHidden/>
          </w:rPr>
          <w:fldChar w:fldCharType="separate"/>
        </w:r>
        <w:r>
          <w:rPr>
            <w:webHidden/>
          </w:rPr>
          <w:t>7</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60" w:history="1">
        <w:r w:rsidRPr="00247A69">
          <w:rPr>
            <w:rStyle w:val="Hipercze"/>
          </w:rPr>
          <w:t>Krystyna Berkan (IS PAN), Irena Lorentowiczówna (1908–1985). Polska scenografka w Paryżu</w:t>
        </w:r>
        <w:r>
          <w:rPr>
            <w:webHidden/>
          </w:rPr>
          <w:tab/>
        </w:r>
        <w:r>
          <w:rPr>
            <w:webHidden/>
          </w:rPr>
          <w:fldChar w:fldCharType="begin"/>
        </w:r>
        <w:r>
          <w:rPr>
            <w:webHidden/>
          </w:rPr>
          <w:instrText xml:space="preserve"> PAGEREF _Toc132624660 \h </w:instrText>
        </w:r>
        <w:r>
          <w:rPr>
            <w:webHidden/>
          </w:rPr>
        </w:r>
        <w:r>
          <w:rPr>
            <w:webHidden/>
          </w:rPr>
          <w:fldChar w:fldCharType="separate"/>
        </w:r>
        <w:r>
          <w:rPr>
            <w:webHidden/>
          </w:rPr>
          <w:t>7</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61" w:history="1">
        <w:r w:rsidRPr="00247A69">
          <w:rPr>
            <w:rStyle w:val="Hipercze"/>
          </w:rPr>
          <w:t>Anna Oleńska (IS PAN), Dorota Piramidowicz (IS PAN), „Jesteśmy tylko chwilą w trwaniu przedmiotów” – migracje, postrzeganie i zmiana znaczeń obiektów zabytkowych</w:t>
        </w:r>
        <w:r>
          <w:rPr>
            <w:webHidden/>
          </w:rPr>
          <w:tab/>
        </w:r>
        <w:r>
          <w:rPr>
            <w:webHidden/>
          </w:rPr>
          <w:fldChar w:fldCharType="begin"/>
        </w:r>
        <w:r>
          <w:rPr>
            <w:webHidden/>
          </w:rPr>
          <w:instrText xml:space="preserve"> PAGEREF _Toc132624661 \h </w:instrText>
        </w:r>
        <w:r>
          <w:rPr>
            <w:webHidden/>
          </w:rPr>
        </w:r>
        <w:r>
          <w:rPr>
            <w:webHidden/>
          </w:rPr>
          <w:fldChar w:fldCharType="separate"/>
        </w:r>
        <w:r>
          <w:rPr>
            <w:webHidden/>
          </w:rPr>
          <w:t>8</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62" w:history="1">
        <w:r w:rsidRPr="00247A69">
          <w:rPr>
            <w:rStyle w:val="Hipercze"/>
          </w:rPr>
          <w:t>Anna Straszewska (IS PAN), Drohobycz–Wiedeń–Nowy Jork. Żydowscy absolwenci wiedeńskiej Akademii i ich udział w rozprzestrzenianiu wzorów sztuki środkowoeuropejskiej</w:t>
        </w:r>
        <w:r>
          <w:rPr>
            <w:webHidden/>
          </w:rPr>
          <w:tab/>
        </w:r>
        <w:r>
          <w:rPr>
            <w:webHidden/>
          </w:rPr>
          <w:fldChar w:fldCharType="begin"/>
        </w:r>
        <w:r>
          <w:rPr>
            <w:webHidden/>
          </w:rPr>
          <w:instrText xml:space="preserve"> PAGEREF _Toc132624662 \h </w:instrText>
        </w:r>
        <w:r>
          <w:rPr>
            <w:webHidden/>
          </w:rPr>
        </w:r>
        <w:r>
          <w:rPr>
            <w:webHidden/>
          </w:rPr>
          <w:fldChar w:fldCharType="separate"/>
        </w:r>
        <w:r>
          <w:rPr>
            <w:webHidden/>
          </w:rPr>
          <w:t>8</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63" w:history="1">
        <w:r w:rsidRPr="00247A69">
          <w:rPr>
            <w:rStyle w:val="Hipercze"/>
          </w:rPr>
          <w:t>Arleta Nawrocka-Wysocka (IS PAN), Muzyka i migracje jako przedmiot badań etnomuzykologii w XX i XXI wieku</w:t>
        </w:r>
        <w:r>
          <w:rPr>
            <w:webHidden/>
          </w:rPr>
          <w:tab/>
        </w:r>
        <w:r>
          <w:rPr>
            <w:webHidden/>
          </w:rPr>
          <w:fldChar w:fldCharType="begin"/>
        </w:r>
        <w:r>
          <w:rPr>
            <w:webHidden/>
          </w:rPr>
          <w:instrText xml:space="preserve"> PAGEREF _Toc132624663 \h </w:instrText>
        </w:r>
        <w:r>
          <w:rPr>
            <w:webHidden/>
          </w:rPr>
        </w:r>
        <w:r>
          <w:rPr>
            <w:webHidden/>
          </w:rPr>
          <w:fldChar w:fldCharType="separate"/>
        </w:r>
        <w:r>
          <w:rPr>
            <w:webHidden/>
          </w:rPr>
          <w:t>9</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64" w:history="1">
        <w:r w:rsidRPr="00247A69">
          <w:rPr>
            <w:rStyle w:val="Hipercze"/>
          </w:rPr>
          <w:t xml:space="preserve">Michał Jaczyński (UJ), </w:t>
        </w:r>
        <w:r w:rsidRPr="00247A69">
          <w:rPr>
            <w:rStyle w:val="Hipercze"/>
            <w:lang w:val="it-IT"/>
          </w:rPr>
          <w:t>Muzyka żydowska w powszechnym życiu muzycznym Europy Środkowej w dwudziestoleciu międzywojennym</w:t>
        </w:r>
        <w:r>
          <w:rPr>
            <w:webHidden/>
          </w:rPr>
          <w:tab/>
        </w:r>
        <w:r>
          <w:rPr>
            <w:webHidden/>
          </w:rPr>
          <w:fldChar w:fldCharType="begin"/>
        </w:r>
        <w:r>
          <w:rPr>
            <w:webHidden/>
          </w:rPr>
          <w:instrText xml:space="preserve"> PAGEREF _Toc132624664 \h </w:instrText>
        </w:r>
        <w:r>
          <w:rPr>
            <w:webHidden/>
          </w:rPr>
        </w:r>
        <w:r>
          <w:rPr>
            <w:webHidden/>
          </w:rPr>
          <w:fldChar w:fldCharType="separate"/>
        </w:r>
        <w:r>
          <w:rPr>
            <w:webHidden/>
          </w:rPr>
          <w:t>9</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65" w:history="1">
        <w:r w:rsidRPr="00247A69">
          <w:rPr>
            <w:rStyle w:val="Hipercze"/>
          </w:rPr>
          <w:t xml:space="preserve">Karolina Kondracka (IS PAN), </w:t>
        </w:r>
        <w:r w:rsidRPr="00247A69">
          <w:rPr>
            <w:rStyle w:val="Hipercze"/>
            <w:lang w:val="it-IT"/>
          </w:rPr>
          <w:t>Muzyka Jakutów w relacjach polskich zesłańców na Syberię</w:t>
        </w:r>
        <w:r>
          <w:rPr>
            <w:webHidden/>
          </w:rPr>
          <w:tab/>
        </w:r>
        <w:r>
          <w:rPr>
            <w:webHidden/>
          </w:rPr>
          <w:fldChar w:fldCharType="begin"/>
        </w:r>
        <w:r>
          <w:rPr>
            <w:webHidden/>
          </w:rPr>
          <w:instrText xml:space="preserve"> PAGEREF _Toc132624665 \h </w:instrText>
        </w:r>
        <w:r>
          <w:rPr>
            <w:webHidden/>
          </w:rPr>
        </w:r>
        <w:r>
          <w:rPr>
            <w:webHidden/>
          </w:rPr>
          <w:fldChar w:fldCharType="separate"/>
        </w:r>
        <w:r>
          <w:rPr>
            <w:webHidden/>
          </w:rPr>
          <w:t>10</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66" w:history="1">
        <w:r w:rsidRPr="00247A69">
          <w:rPr>
            <w:rStyle w:val="Hipercze"/>
            <w:lang w:eastAsia="pl-PL"/>
          </w:rPr>
          <w:t>Michał Piekarski (IHN PAN), Konrad Zawiłowski i Julian Pulikowski – dwie drogi kariery po uzyskaniu dyplomu z muzykologii na Uniwersytecie Wiedeńskim</w:t>
        </w:r>
        <w:r>
          <w:rPr>
            <w:webHidden/>
          </w:rPr>
          <w:tab/>
        </w:r>
        <w:r>
          <w:rPr>
            <w:webHidden/>
          </w:rPr>
          <w:fldChar w:fldCharType="begin"/>
        </w:r>
        <w:r>
          <w:rPr>
            <w:webHidden/>
          </w:rPr>
          <w:instrText xml:space="preserve"> PAGEREF _Toc132624666 \h </w:instrText>
        </w:r>
        <w:r>
          <w:rPr>
            <w:webHidden/>
          </w:rPr>
        </w:r>
        <w:r>
          <w:rPr>
            <w:webHidden/>
          </w:rPr>
          <w:fldChar w:fldCharType="separate"/>
        </w:r>
        <w:r>
          <w:rPr>
            <w:webHidden/>
          </w:rPr>
          <w:t>10</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67" w:history="1">
        <w:r w:rsidRPr="00247A69">
          <w:rPr>
            <w:rStyle w:val="Hipercze"/>
            <w:lang w:eastAsia="pl-PL"/>
          </w:rPr>
          <w:t>Barbara Mielcarek-Krzyżanowska (AM Bydgoszcz), Między Polską a Francją – działalność Marii Modrakowskiej</w:t>
        </w:r>
        <w:r>
          <w:rPr>
            <w:webHidden/>
          </w:rPr>
          <w:tab/>
        </w:r>
        <w:r>
          <w:rPr>
            <w:webHidden/>
          </w:rPr>
          <w:fldChar w:fldCharType="begin"/>
        </w:r>
        <w:r>
          <w:rPr>
            <w:webHidden/>
          </w:rPr>
          <w:instrText xml:space="preserve"> PAGEREF _Toc132624667 \h </w:instrText>
        </w:r>
        <w:r>
          <w:rPr>
            <w:webHidden/>
          </w:rPr>
        </w:r>
        <w:r>
          <w:rPr>
            <w:webHidden/>
          </w:rPr>
          <w:fldChar w:fldCharType="separate"/>
        </w:r>
        <w:r>
          <w:rPr>
            <w:webHidden/>
          </w:rPr>
          <w:t>11</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68" w:history="1">
        <w:r w:rsidRPr="00247A69">
          <w:rPr>
            <w:rStyle w:val="Hipercze"/>
            <w:lang w:eastAsia="pl-PL"/>
          </w:rPr>
          <w:t>Małgorzata Sieradz (IS PAN), Pęd do wiedzy. Zagraniczny uniwersytet jako wybór czy konieczność</w:t>
        </w:r>
        <w:r>
          <w:rPr>
            <w:webHidden/>
          </w:rPr>
          <w:tab/>
        </w:r>
        <w:r>
          <w:rPr>
            <w:webHidden/>
          </w:rPr>
          <w:fldChar w:fldCharType="begin"/>
        </w:r>
        <w:r>
          <w:rPr>
            <w:webHidden/>
          </w:rPr>
          <w:instrText xml:space="preserve"> PAGEREF _Toc132624668 \h </w:instrText>
        </w:r>
        <w:r>
          <w:rPr>
            <w:webHidden/>
          </w:rPr>
        </w:r>
        <w:r>
          <w:rPr>
            <w:webHidden/>
          </w:rPr>
          <w:fldChar w:fldCharType="separate"/>
        </w:r>
        <w:r>
          <w:rPr>
            <w:webHidden/>
          </w:rPr>
          <w:t>11</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69" w:history="1">
        <w:r w:rsidRPr="00247A69">
          <w:rPr>
            <w:rStyle w:val="Hipercze"/>
            <w:lang w:eastAsia="pl-PL"/>
          </w:rPr>
          <w:t>Piotr Jamski (IS PAN), Wędrowni Ludwisarze i mobilne dzwony</w:t>
        </w:r>
        <w:r>
          <w:rPr>
            <w:webHidden/>
          </w:rPr>
          <w:tab/>
        </w:r>
        <w:r>
          <w:rPr>
            <w:webHidden/>
          </w:rPr>
          <w:fldChar w:fldCharType="begin"/>
        </w:r>
        <w:r>
          <w:rPr>
            <w:webHidden/>
          </w:rPr>
          <w:instrText xml:space="preserve"> PAGEREF _Toc132624669 \h </w:instrText>
        </w:r>
        <w:r>
          <w:rPr>
            <w:webHidden/>
          </w:rPr>
        </w:r>
        <w:r>
          <w:rPr>
            <w:webHidden/>
          </w:rPr>
          <w:fldChar w:fldCharType="separate"/>
        </w:r>
        <w:r>
          <w:rPr>
            <w:webHidden/>
          </w:rPr>
          <w:t>12</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70" w:history="1">
        <w:r w:rsidRPr="00247A69">
          <w:rPr>
            <w:rStyle w:val="Hipercze"/>
            <w:lang w:eastAsia="pl-PL"/>
          </w:rPr>
          <w:t>Łukasz Smoluch (UAM), Muzyczne performanse jako narzędzie negocjowania tożsamości w polskich społecznościach poza granicami kraju</w:t>
        </w:r>
        <w:r>
          <w:rPr>
            <w:webHidden/>
          </w:rPr>
          <w:tab/>
        </w:r>
        <w:r>
          <w:rPr>
            <w:webHidden/>
          </w:rPr>
          <w:fldChar w:fldCharType="begin"/>
        </w:r>
        <w:r>
          <w:rPr>
            <w:webHidden/>
          </w:rPr>
          <w:instrText xml:space="preserve"> PAGEREF _Toc132624670 \h </w:instrText>
        </w:r>
        <w:r>
          <w:rPr>
            <w:webHidden/>
          </w:rPr>
        </w:r>
        <w:r>
          <w:rPr>
            <w:webHidden/>
          </w:rPr>
          <w:fldChar w:fldCharType="separate"/>
        </w:r>
        <w:r>
          <w:rPr>
            <w:webHidden/>
          </w:rPr>
          <w:t>12</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71" w:history="1">
        <w:r w:rsidRPr="00247A69">
          <w:rPr>
            <w:rStyle w:val="Hipercze"/>
          </w:rPr>
          <w:t>Beata Bolesławska-Lewandowska (IS PAN), Andrzej Panufnik w kręgu kultury brytyjskiej</w:t>
        </w:r>
        <w:r>
          <w:rPr>
            <w:webHidden/>
          </w:rPr>
          <w:tab/>
        </w:r>
        <w:r>
          <w:rPr>
            <w:webHidden/>
          </w:rPr>
          <w:fldChar w:fldCharType="begin"/>
        </w:r>
        <w:r>
          <w:rPr>
            <w:webHidden/>
          </w:rPr>
          <w:instrText xml:space="preserve"> PAGEREF _Toc132624671 \h </w:instrText>
        </w:r>
        <w:r>
          <w:rPr>
            <w:webHidden/>
          </w:rPr>
        </w:r>
        <w:r>
          <w:rPr>
            <w:webHidden/>
          </w:rPr>
          <w:fldChar w:fldCharType="separate"/>
        </w:r>
        <w:r>
          <w:rPr>
            <w:webHidden/>
          </w:rPr>
          <w:t>13</w:t>
        </w:r>
        <w:r>
          <w:rPr>
            <w:webHidden/>
          </w:rPr>
          <w:fldChar w:fldCharType="end"/>
        </w:r>
      </w:hyperlink>
    </w:p>
    <w:p w:rsidR="00827F26" w:rsidRDefault="00827F26" w:rsidP="001C5DE9">
      <w:pPr>
        <w:pStyle w:val="Spistreci1"/>
        <w:numPr>
          <w:ilvl w:val="0"/>
          <w:numId w:val="37"/>
        </w:numPr>
        <w:tabs>
          <w:tab w:val="right" w:leader="dot" w:pos="9016"/>
        </w:tabs>
        <w:rPr>
          <w:rFonts w:asciiTheme="minorHAnsi" w:eastAsiaTheme="minorEastAsia" w:hAnsiTheme="minorHAnsi" w:cstheme="minorBidi"/>
          <w:lang w:eastAsia="pl-PL"/>
        </w:rPr>
      </w:pPr>
      <w:hyperlink w:anchor="_Toc132624672" w:history="1">
        <w:r w:rsidRPr="00247A69">
          <w:rPr>
            <w:rStyle w:val="Hipercze"/>
          </w:rPr>
          <w:t>Dorota Piramidowicz (IS PAN), Zabytek - artefakt - dzieło sztuki</w:t>
        </w:r>
        <w:r>
          <w:rPr>
            <w:webHidden/>
          </w:rPr>
          <w:tab/>
        </w:r>
        <w:r>
          <w:rPr>
            <w:webHidden/>
          </w:rPr>
          <w:fldChar w:fldCharType="begin"/>
        </w:r>
        <w:r>
          <w:rPr>
            <w:webHidden/>
          </w:rPr>
          <w:instrText xml:space="preserve"> PAGEREF _Toc132624672 \h </w:instrText>
        </w:r>
        <w:r>
          <w:rPr>
            <w:webHidden/>
          </w:rPr>
        </w:r>
        <w:r>
          <w:rPr>
            <w:webHidden/>
          </w:rPr>
          <w:fldChar w:fldCharType="separate"/>
        </w:r>
        <w:r>
          <w:rPr>
            <w:webHidden/>
          </w:rPr>
          <w:t>13</w:t>
        </w:r>
        <w:r>
          <w:rPr>
            <w:webHidden/>
          </w:rPr>
          <w:fldChar w:fldCharType="end"/>
        </w:r>
      </w:hyperlink>
    </w:p>
    <w:p w:rsidR="00627454" w:rsidRPr="002048BE" w:rsidRDefault="00627454" w:rsidP="001C5DE9">
      <w:pPr>
        <w:pStyle w:val="Styl1"/>
      </w:pPr>
      <w:r w:rsidRPr="00712217">
        <w:rPr>
          <w:rFonts w:ascii="Calibri Light" w:hAnsi="Calibri Light" w:cs="Calibri Light"/>
          <w:b/>
          <w:bCs/>
        </w:rPr>
        <w:fldChar w:fldCharType="end"/>
      </w:r>
      <w:r>
        <w:rPr>
          <w:noProof/>
          <w:lang w:val="it-IT" w:bidi="pl-PL"/>
        </w:rPr>
        <w:br w:type="page"/>
      </w:r>
      <w:bookmarkStart w:id="2" w:name="_Toc132624651"/>
      <w:r w:rsidRPr="00E14010">
        <w:lastRenderedPageBreak/>
        <w:t>Beata Bolesławska-Lewandowska</w:t>
      </w:r>
      <w:r w:rsidR="0061638B" w:rsidRPr="00E14010">
        <w:t xml:space="preserve"> (IS PAN)</w:t>
      </w:r>
      <w:r w:rsidRPr="00E14010">
        <w:t>,</w:t>
      </w:r>
      <w:r w:rsidRPr="004F6481">
        <w:t xml:space="preserve"> Kompozytorzy polscy w kręgu emigracji politycznej po II wojnie światowej</w:t>
      </w:r>
      <w:bookmarkEnd w:id="2"/>
      <w:r w:rsidRPr="004F6481">
        <w:t xml:space="preserve"> </w:t>
      </w:r>
    </w:p>
    <w:p w:rsidR="00627454" w:rsidRPr="00863E2E" w:rsidRDefault="00627454" w:rsidP="00C417BF">
      <w:pPr>
        <w:jc w:val="both"/>
        <w:rPr>
          <w:rStyle w:val="d2edcug0"/>
        </w:rPr>
      </w:pPr>
      <w:r w:rsidRPr="00863E2E">
        <w:rPr>
          <w:rStyle w:val="d2edcug0"/>
        </w:rPr>
        <w:t xml:space="preserve">Narzucony Polsce po II wojnie światowej system komunistyczny spowodował, że nie tylko część twórców przebywających w czasie okupacji poza granicami kraju nie powróciła do Polski,  ale także niektórzy z tych, którzy po 1945 roku włączyli się w odbudowę życia kulturalnego w kraju, w kolejnych latach zdecydowali się na emigrację. </w:t>
      </w:r>
    </w:p>
    <w:p w:rsidR="00627454" w:rsidRPr="00863E2E" w:rsidRDefault="00627454" w:rsidP="00C417BF">
      <w:pPr>
        <w:jc w:val="both"/>
        <w:rPr>
          <w:rStyle w:val="d2edcug0"/>
        </w:rPr>
      </w:pPr>
      <w:r w:rsidRPr="00863E2E">
        <w:rPr>
          <w:rStyle w:val="d2edcug0"/>
        </w:rPr>
        <w:t xml:space="preserve">Wśród kompozytorów należy tu wymienić Romana Palestra, który opuścił Polskę w 1947 roku, decyzję o pozostaniu na emigracji ogłaszając trzy lata później, a także Andrzeja Panufnika, który w 1954 roku poprosił o polityczny azyl w Wielkiej Brytanii. </w:t>
      </w:r>
    </w:p>
    <w:p w:rsidR="00627454" w:rsidRPr="00863E2E" w:rsidRDefault="00627454" w:rsidP="00C417BF">
      <w:pPr>
        <w:jc w:val="both"/>
        <w:rPr>
          <w:rStyle w:val="d2edcug0"/>
        </w:rPr>
      </w:pPr>
      <w:r w:rsidRPr="00863E2E">
        <w:rPr>
          <w:rStyle w:val="d2edcug0"/>
        </w:rPr>
        <w:t xml:space="preserve">Obaj - przez komunistyczną cenzurę skazani w kraju na zapomnienie - na emigracji włączali się w działania na rzecz polskiej kultury nie tylko w pracy twórczej, ale i  poprzez współpracę z najważniejszymi polskimi ośrodkami emigracyjnymi, na czele z paryską </w:t>
      </w:r>
      <w:r w:rsidR="007430A8">
        <w:rPr>
          <w:rStyle w:val="d2edcug0"/>
        </w:rPr>
        <w:t>„</w:t>
      </w:r>
      <w:r w:rsidRPr="00863E2E">
        <w:rPr>
          <w:rStyle w:val="d2edcug0"/>
        </w:rPr>
        <w:t>Kulturą</w:t>
      </w:r>
      <w:r w:rsidR="007430A8">
        <w:rPr>
          <w:rStyle w:val="d2edcug0"/>
        </w:rPr>
        <w:t>”</w:t>
      </w:r>
      <w:r w:rsidRPr="00863E2E">
        <w:rPr>
          <w:rStyle w:val="d2edcug0"/>
        </w:rPr>
        <w:t xml:space="preserve"> i Radiem Wolna Europa.</w:t>
      </w:r>
    </w:p>
    <w:p w:rsidR="00627454" w:rsidRPr="00863E2E" w:rsidRDefault="00627454" w:rsidP="00C417BF">
      <w:pPr>
        <w:jc w:val="both"/>
        <w:rPr>
          <w:rStyle w:val="d2edcug0"/>
        </w:rPr>
      </w:pPr>
      <w:r w:rsidRPr="00863E2E">
        <w:rPr>
          <w:rStyle w:val="d2edcug0"/>
        </w:rPr>
        <w:t>Celem wykładu jest przybliżenie zarówno wzajemnych kontaktów przebywających na emigracji kompozytorów, jak i ukazanie ich związków z działalnością polskich krę</w:t>
      </w:r>
      <w:r w:rsidR="00C417BF">
        <w:rPr>
          <w:rStyle w:val="d2edcug0"/>
        </w:rPr>
        <w:t>gów emigracji politycznej po II </w:t>
      </w:r>
      <w:r w:rsidRPr="00863E2E">
        <w:rPr>
          <w:rStyle w:val="d2edcug0"/>
        </w:rPr>
        <w:t>wojnie światowej.  </w:t>
      </w:r>
    </w:p>
    <w:p w:rsidR="00627454" w:rsidRPr="00627454" w:rsidRDefault="00627454" w:rsidP="00627454">
      <w:pPr>
        <w:jc w:val="right"/>
        <w:rPr>
          <w:lang w:bidi="pl-PL"/>
        </w:rPr>
      </w:pPr>
      <w:r>
        <w:rPr>
          <w:lang w:bidi="pl-PL"/>
        </w:rPr>
        <w:t>(</w:t>
      </w:r>
      <w:r w:rsidRPr="002048BE">
        <w:t xml:space="preserve">27 XI </w:t>
      </w:r>
      <w:r w:rsidRPr="00627454">
        <w:t>2019</w:t>
      </w:r>
      <w:r>
        <w:t>)</w:t>
      </w:r>
    </w:p>
    <w:p w:rsidR="005C6D45" w:rsidRPr="00895090" w:rsidRDefault="005C6D45">
      <w:pPr>
        <w:rPr>
          <w:noProof/>
        </w:rPr>
      </w:pPr>
    </w:p>
    <w:p w:rsidR="005C6D45" w:rsidRPr="00662706" w:rsidRDefault="00627454" w:rsidP="001C5DE9">
      <w:pPr>
        <w:pStyle w:val="Styl1"/>
      </w:pPr>
      <w:bookmarkStart w:id="3" w:name="_Toc132624652"/>
      <w:r w:rsidRPr="00E14010">
        <w:t>Jolanta Guzy-Pasiak</w:t>
      </w:r>
      <w:r w:rsidR="0061638B" w:rsidRPr="00E14010">
        <w:t xml:space="preserve"> (IS PAN)</w:t>
      </w:r>
      <w:r w:rsidRPr="00E14010">
        <w:t xml:space="preserve">, </w:t>
      </w:r>
      <w:r w:rsidRPr="004F6481">
        <w:t>Problemy</w:t>
      </w:r>
      <w:r w:rsidRPr="004F6481">
        <w:rPr>
          <w:lang w:bidi="pl-PL"/>
        </w:rPr>
        <w:t xml:space="preserve"> w badaniach na</w:t>
      </w:r>
      <w:r w:rsidR="00546E24" w:rsidRPr="004F6481">
        <w:rPr>
          <w:lang w:bidi="pl-PL"/>
        </w:rPr>
        <w:t>d kompozytorami emigracyjnymi I </w:t>
      </w:r>
      <w:r w:rsidRPr="004F6481">
        <w:rPr>
          <w:lang w:bidi="pl-PL"/>
        </w:rPr>
        <w:t>połowy XX wieku</w:t>
      </w:r>
      <w:bookmarkEnd w:id="3"/>
    </w:p>
    <w:p w:rsidR="00627454" w:rsidRPr="00627454" w:rsidRDefault="00627454" w:rsidP="00C417BF">
      <w:pPr>
        <w:jc w:val="both"/>
        <w:rPr>
          <w:noProof/>
          <w:lang w:bidi="pl-PL"/>
        </w:rPr>
      </w:pPr>
      <w:r w:rsidRPr="00627454">
        <w:rPr>
          <w:noProof/>
          <w:lang w:bidi="pl-PL"/>
        </w:rPr>
        <w:t>Artystów, którym przyszło żyć w czasach dwóch totalitaryzmów: faszyzmu i komunizmu, którzy przeżyli koszmar obu wojen i skazani byli na wygnanie, wiele łączy, zarówn</w:t>
      </w:r>
      <w:r w:rsidR="00C417BF">
        <w:rPr>
          <w:noProof/>
          <w:lang w:bidi="pl-PL"/>
        </w:rPr>
        <w:t>o pod względem zawodowym, jak i </w:t>
      </w:r>
      <w:r w:rsidRPr="00627454">
        <w:rPr>
          <w:noProof/>
          <w:lang w:bidi="pl-PL"/>
        </w:rPr>
        <w:t xml:space="preserve">osobistym.  </w:t>
      </w:r>
    </w:p>
    <w:p w:rsidR="00627454" w:rsidRDefault="00627454" w:rsidP="00C417BF">
      <w:pPr>
        <w:jc w:val="both"/>
        <w:rPr>
          <w:noProof/>
          <w:lang w:bidi="pl-PL"/>
        </w:rPr>
      </w:pPr>
      <w:r w:rsidRPr="00627454">
        <w:rPr>
          <w:noProof/>
          <w:lang w:bidi="pl-PL"/>
        </w:rPr>
        <w:t xml:space="preserve">Dzieje kultury muzycznej, sztuki i nauki, jak nigdy przedtem, splotły się w XX wieku z wydarzeniami politycznymi i społecznymi. Podobny los podzielili kompozytorzy tacy jak Karol Rathaus, Aleksander Tansman, Jerzy Fitelberg, Tadeusz Zygfryd Kassern, Michał Kondracki czy Feliks Łabuński. Za czasów rządów komunistycznych muzyka twórców żyjących poza granicami kraju została wykluczona z życia koncertowego i wyłączona z badań nad całokształtem zjawisk rodzimej twórczości kompozytorskiej. </w:t>
      </w:r>
    </w:p>
    <w:p w:rsidR="00627454" w:rsidRDefault="00627454" w:rsidP="00627454">
      <w:pPr>
        <w:jc w:val="right"/>
        <w:rPr>
          <w:noProof/>
          <w:lang w:bidi="pl-PL"/>
        </w:rPr>
      </w:pPr>
      <w:r>
        <w:rPr>
          <w:noProof/>
          <w:lang w:bidi="pl-PL"/>
        </w:rPr>
        <w:t>(11 XII 2019)</w:t>
      </w:r>
    </w:p>
    <w:p w:rsidR="00627454" w:rsidRPr="00627454" w:rsidRDefault="00627454" w:rsidP="00627454">
      <w:pPr>
        <w:jc w:val="right"/>
        <w:rPr>
          <w:noProof/>
          <w:lang w:val="it-IT" w:bidi="pl-PL"/>
        </w:rPr>
      </w:pPr>
    </w:p>
    <w:p w:rsidR="005C6D45" w:rsidRPr="00662706" w:rsidRDefault="00627454" w:rsidP="001C5DE9">
      <w:pPr>
        <w:pStyle w:val="Styl1"/>
        <w:rPr>
          <w:rFonts w:cs="Times New Roman"/>
          <w:noProof/>
        </w:rPr>
      </w:pPr>
      <w:bookmarkStart w:id="4" w:name="_Toc132624653"/>
      <w:r w:rsidRPr="00E14010">
        <w:rPr>
          <w:rFonts w:cs="Times New Roman"/>
          <w:noProof/>
          <w:lang w:bidi="pl-PL"/>
        </w:rPr>
        <w:t>Ewa Fiuk</w:t>
      </w:r>
      <w:r w:rsidR="0061638B" w:rsidRPr="00E14010">
        <w:rPr>
          <w:rFonts w:cs="Times New Roman"/>
          <w:noProof/>
          <w:lang w:bidi="pl-PL"/>
        </w:rPr>
        <w:t xml:space="preserve"> (</w:t>
      </w:r>
      <w:r w:rsidR="0061638B" w:rsidRPr="00E14010">
        <w:t>IS PAN)</w:t>
      </w:r>
      <w:r w:rsidRPr="00E14010">
        <w:t>,</w:t>
      </w:r>
      <w:r w:rsidRPr="00863E2E">
        <w:t xml:space="preserve"> </w:t>
      </w:r>
      <w:r w:rsidRPr="007430A8">
        <w:t>Filmowe przestrzenie i kody migracji</w:t>
      </w:r>
      <w:bookmarkEnd w:id="4"/>
    </w:p>
    <w:p w:rsidR="00627454" w:rsidRPr="00627454" w:rsidRDefault="00627454" w:rsidP="00C417BF">
      <w:pPr>
        <w:jc w:val="both"/>
        <w:rPr>
          <w:bCs/>
          <w:noProof/>
          <w:lang w:bidi="pl-PL"/>
        </w:rPr>
      </w:pPr>
      <w:r w:rsidRPr="00627454">
        <w:rPr>
          <w:bCs/>
          <w:noProof/>
          <w:lang w:bidi="pl-PL"/>
        </w:rPr>
        <w:t xml:space="preserve">W kinie niemieckim po 1945 roku temat migracji pojawia się regularnie od kilkudziesięciu lat, choć z różnym natężeniem i w różnej formule. </w:t>
      </w:r>
    </w:p>
    <w:p w:rsidR="00627454" w:rsidRPr="00627454" w:rsidRDefault="00627454" w:rsidP="00C417BF">
      <w:pPr>
        <w:jc w:val="both"/>
        <w:rPr>
          <w:b/>
          <w:bCs/>
          <w:noProof/>
          <w:lang w:bidi="pl-PL"/>
        </w:rPr>
      </w:pPr>
      <w:r w:rsidRPr="00627454">
        <w:rPr>
          <w:bCs/>
          <w:noProof/>
          <w:lang w:bidi="pl-PL"/>
        </w:rPr>
        <w:t xml:space="preserve">Filmy o tematyce migracyjnej lub innej, ale ukazujące postaci migrantów, tworzone były najpierw przez reżyserów niemieckich (okresem inicjacyjnym było tzw. nowe kino niemieckie przypadające na lata 60. i 70.), a potem (mniej więcej od połowy lat 80.) także przez filmowców z doświadczeniem migracyjnym. Na rozwój tej twórczości wpływały przemiany społeczno-kulturowe w RFN (m.in. kolejne fale migracji, zmiany pokoleniowe, zjednoczenie Niemiec), tak iż dziś obejmuje ona swym zasięgiem i odzwierciedla wiele zjawisk o tym charakterze – emancypację rozmaitych mniejszości, transnarodowość </w:t>
      </w:r>
      <w:r w:rsidRPr="00627454">
        <w:rPr>
          <w:bCs/>
          <w:noProof/>
          <w:lang w:bidi="pl-PL"/>
        </w:rPr>
        <w:lastRenderedPageBreak/>
        <w:t>i</w:t>
      </w:r>
      <w:r w:rsidR="00C417BF">
        <w:rPr>
          <w:bCs/>
          <w:noProof/>
          <w:lang w:bidi="pl-PL"/>
        </w:rPr>
        <w:t> </w:t>
      </w:r>
      <w:r w:rsidRPr="00627454">
        <w:rPr>
          <w:bCs/>
          <w:noProof/>
          <w:lang w:bidi="pl-PL"/>
        </w:rPr>
        <w:t>transkulturowość, postmigracyjny rys społeczeństwa niemieckiego. Filmy o (post)migrantach i filmy realizowane przez (post)migrantów reprezentują ponadto wiele różnych nurtów współczesnego kina – kino autorskie i gatunków, twórczość dokumentalną i eksperymentalną, kino feministyczne i queerowe. </w:t>
      </w:r>
    </w:p>
    <w:p w:rsidR="00627454" w:rsidRDefault="00627454" w:rsidP="00C417BF">
      <w:pPr>
        <w:jc w:val="both"/>
        <w:rPr>
          <w:noProof/>
          <w:lang w:bidi="pl-PL"/>
        </w:rPr>
      </w:pPr>
      <w:r w:rsidRPr="00627454">
        <w:rPr>
          <w:noProof/>
          <w:lang w:bidi="pl-PL"/>
        </w:rPr>
        <w:t>Wykład będzie poświęcony różnym wymiarom niemieckiego kina (post)migracyjnego – czasowemu, etnicznemu, generacyjnemu itd., rodzajom narracji i sposobom konstruowania świata przedstawionego oraz możliwemu wpływowi tej twórczości na kształtowanie się świadomości społecznej u jej odbiorców.</w:t>
      </w:r>
    </w:p>
    <w:p w:rsidR="00627454" w:rsidRDefault="00627454" w:rsidP="00627454">
      <w:pPr>
        <w:jc w:val="right"/>
        <w:rPr>
          <w:noProof/>
          <w:lang w:bidi="pl-PL"/>
        </w:rPr>
      </w:pPr>
      <w:r>
        <w:rPr>
          <w:noProof/>
          <w:lang w:bidi="pl-PL"/>
        </w:rPr>
        <w:t>(15 I 2020)</w:t>
      </w:r>
    </w:p>
    <w:p w:rsidR="00627454" w:rsidRPr="00627454" w:rsidRDefault="00627454" w:rsidP="00627454">
      <w:pPr>
        <w:rPr>
          <w:noProof/>
          <w:lang w:val="it-IT" w:bidi="pl-PL"/>
        </w:rPr>
      </w:pPr>
    </w:p>
    <w:p w:rsidR="00627454" w:rsidRPr="007430A8" w:rsidRDefault="00627454" w:rsidP="001C5DE9">
      <w:pPr>
        <w:pStyle w:val="Styl1"/>
      </w:pPr>
      <w:bookmarkStart w:id="5" w:name="_Toc132624654"/>
      <w:r w:rsidRPr="00E14010">
        <w:rPr>
          <w:lang w:bidi="pl-PL"/>
        </w:rPr>
        <w:t xml:space="preserve">Joanna </w:t>
      </w:r>
      <w:proofErr w:type="spellStart"/>
      <w:r w:rsidRPr="00E14010">
        <w:rPr>
          <w:lang w:bidi="pl-PL"/>
        </w:rPr>
        <w:t>Kocemba</w:t>
      </w:r>
      <w:proofErr w:type="spellEnd"/>
      <w:r w:rsidRPr="00E14010">
        <w:rPr>
          <w:lang w:bidi="pl-PL"/>
        </w:rPr>
        <w:t>-Żebrowska</w:t>
      </w:r>
      <w:r w:rsidR="0061638B" w:rsidRPr="00E14010">
        <w:rPr>
          <w:lang w:bidi="pl-PL"/>
        </w:rPr>
        <w:t xml:space="preserve"> (IS PAN)</w:t>
      </w:r>
      <w:r w:rsidRPr="00E14010">
        <w:rPr>
          <w:lang w:bidi="pl-PL"/>
        </w:rPr>
        <w:t>,</w:t>
      </w:r>
      <w:r>
        <w:rPr>
          <w:lang w:bidi="pl-PL"/>
        </w:rPr>
        <w:t xml:space="preserve"> </w:t>
      </w:r>
      <w:r w:rsidRPr="007430A8">
        <w:t>Cudzoziemcy na wsi. Kolędowanie Teatru Węgajty</w:t>
      </w:r>
      <w:bookmarkEnd w:id="5"/>
    </w:p>
    <w:p w:rsidR="00627454" w:rsidRPr="00627454" w:rsidRDefault="00627454" w:rsidP="00C417BF">
      <w:pPr>
        <w:jc w:val="both"/>
        <w:rPr>
          <w:bCs/>
          <w:noProof/>
          <w:lang w:bidi="pl-PL"/>
        </w:rPr>
      </w:pPr>
      <w:r w:rsidRPr="00627454">
        <w:rPr>
          <w:bCs/>
          <w:noProof/>
          <w:lang w:bidi="pl-PL"/>
        </w:rPr>
        <w:t>Wyprawy dla Teatru Węgajty, jednego z najważniejszych polskich teatrów alternatywnych, były ważne od początku jego istnienia i do tej pory stanowią niezwykle istotny element działalności tego teatru.</w:t>
      </w:r>
    </w:p>
    <w:p w:rsidR="00627454" w:rsidRPr="00627454" w:rsidRDefault="00627454" w:rsidP="00C417BF">
      <w:pPr>
        <w:jc w:val="both"/>
        <w:rPr>
          <w:b/>
          <w:bCs/>
          <w:noProof/>
          <w:lang w:bidi="pl-PL"/>
        </w:rPr>
      </w:pPr>
      <w:r w:rsidRPr="00627454">
        <w:rPr>
          <w:noProof/>
          <w:lang w:bidi="pl-PL"/>
        </w:rPr>
        <w:t>Początkowo członkowie grupy niesieni byli chęcią doświadczania kultury ludowej zakorzenionej w</w:t>
      </w:r>
      <w:r w:rsidR="00C417BF">
        <w:rPr>
          <w:noProof/>
          <w:lang w:bidi="pl-PL"/>
        </w:rPr>
        <w:t> </w:t>
      </w:r>
      <w:r w:rsidRPr="00627454">
        <w:rPr>
          <w:noProof/>
          <w:lang w:bidi="pl-PL"/>
        </w:rPr>
        <w:t xml:space="preserve">wiejskich społecznościach. Szukali inspiracji dla własnych działań i odpowiedzi na nurtujące ich </w:t>
      </w:r>
      <w:r w:rsidR="007430A8">
        <w:rPr>
          <w:noProof/>
          <w:lang w:bidi="pl-PL"/>
        </w:rPr>
        <w:t>„</w:t>
      </w:r>
      <w:r w:rsidRPr="00627454">
        <w:rPr>
          <w:noProof/>
          <w:lang w:bidi="pl-PL"/>
        </w:rPr>
        <w:t>pytania o związek twórczości teatralnej z kulturą tradycyjną</w:t>
      </w:r>
      <w:r w:rsidR="007430A8">
        <w:rPr>
          <w:noProof/>
          <w:lang w:bidi="pl-PL"/>
        </w:rPr>
        <w:t>”</w:t>
      </w:r>
      <w:r w:rsidRPr="00627454">
        <w:rPr>
          <w:noProof/>
          <w:lang w:bidi="pl-PL"/>
        </w:rPr>
        <w:t xml:space="preserve"> (Sobaszek 2007, s. 9). </w:t>
      </w:r>
    </w:p>
    <w:p w:rsidR="005C6D45" w:rsidRDefault="00627454" w:rsidP="00C417BF">
      <w:pPr>
        <w:jc w:val="both"/>
        <w:rPr>
          <w:noProof/>
          <w:lang w:bidi="pl-PL"/>
        </w:rPr>
      </w:pPr>
      <w:r w:rsidRPr="00627454">
        <w:rPr>
          <w:noProof/>
          <w:lang w:bidi="pl-PL"/>
        </w:rPr>
        <w:t>Po kilku latach takiej działalności członkowie Teatru zapoczątkowali wyprawy kolędnicze. W ich ramach zajęli się praktyką kolędowania</w:t>
      </w:r>
      <w:r w:rsidR="00423585">
        <w:rPr>
          <w:noProof/>
          <w:lang w:bidi="pl-PL"/>
        </w:rPr>
        <w:t xml:space="preserve"> </w:t>
      </w:r>
      <w:r w:rsidR="00423585" w:rsidRPr="00423585">
        <w:rPr>
          <w:noProof/>
          <w:lang w:bidi="pl-PL"/>
        </w:rPr>
        <w:t xml:space="preserve">bożonarodzeniowego i wiosennego (tzw. Alilujką) na dwóch polskich pograniczach: na terenach wiejskich Beskidu Niskiego (Łemkowszczyzna) i na Suwalszczyźnie, na pograniczu polsko-litewskim. Początkowo, wcielając się w role kolędników, wykorzystywali przede wszystkim miejscowe, ulegające zapomnieniu, pieśni i zwyczaje. Z biegiem lat w coraz większym stopniu zaczęli je w twórczy sposób przekształcać, a także wykorzystywać i włączać tradycje pochodzące z różnych części Europy i świata, z których wywodzili się zarówno sami </w:t>
      </w:r>
      <w:r w:rsidR="00C417BF">
        <w:rPr>
          <w:noProof/>
          <w:lang w:bidi="pl-PL"/>
        </w:rPr>
        <w:t>członkowie Teatru Węgajty jak i </w:t>
      </w:r>
      <w:r w:rsidR="00423585" w:rsidRPr="00423585">
        <w:rPr>
          <w:noProof/>
          <w:lang w:bidi="pl-PL"/>
        </w:rPr>
        <w:t>osoby z nimi współpracujące. Kolędowanie nabrało zatem charakteru wieloetnicznego i wielonarodowego. Sam spektakl, prezentowany zaś jako zwieńczenie wyprawy przed publicznością wiejską, stał się ponadnarodowym i transkulturowym widowiskiem, rozmaite refleksje jego twórców zaczęły być przekazywane z wykorzystaniem elementów tradycji pochodzących z odmiennych kultur.</w:t>
      </w:r>
    </w:p>
    <w:p w:rsidR="00423585" w:rsidRDefault="00423585" w:rsidP="00423585">
      <w:pPr>
        <w:jc w:val="right"/>
        <w:rPr>
          <w:noProof/>
          <w:lang w:bidi="pl-PL"/>
        </w:rPr>
      </w:pPr>
      <w:r>
        <w:rPr>
          <w:noProof/>
          <w:lang w:bidi="pl-PL"/>
        </w:rPr>
        <w:t>(12 II 2020)</w:t>
      </w:r>
    </w:p>
    <w:p w:rsidR="00423585" w:rsidRPr="00423585" w:rsidRDefault="00423585" w:rsidP="00423585">
      <w:pPr>
        <w:jc w:val="right"/>
        <w:rPr>
          <w:noProof/>
          <w:lang w:bidi="pl-PL"/>
        </w:rPr>
      </w:pPr>
    </w:p>
    <w:p w:rsidR="005C6D45" w:rsidRPr="007430A8" w:rsidRDefault="00625976" w:rsidP="001C5DE9">
      <w:pPr>
        <w:pStyle w:val="Styl1"/>
        <w:rPr>
          <w:noProof/>
        </w:rPr>
      </w:pPr>
      <w:bookmarkStart w:id="6" w:name="_Toc132624655"/>
      <w:r w:rsidRPr="00E14010">
        <w:t xml:space="preserve">Karolina </w:t>
      </w:r>
      <w:proofErr w:type="spellStart"/>
      <w:r w:rsidRPr="00E14010">
        <w:t>Łabowicz-</w:t>
      </w:r>
      <w:r w:rsidR="00423585" w:rsidRPr="00E14010">
        <w:t>Dymanus</w:t>
      </w:r>
      <w:proofErr w:type="spellEnd"/>
      <w:r w:rsidR="0061638B" w:rsidRPr="00E14010">
        <w:t xml:space="preserve"> (IS PAN)</w:t>
      </w:r>
      <w:r w:rsidR="00423585" w:rsidRPr="00E14010">
        <w:t xml:space="preserve">, </w:t>
      </w:r>
      <w:r w:rsidR="00423585" w:rsidRPr="007430A8">
        <w:t>Globalne kontakty w PRL-u. Wymiana artystyczna z tzw. Krajami Trzeciego Świata w latach 1950–tych</w:t>
      </w:r>
      <w:bookmarkEnd w:id="6"/>
    </w:p>
    <w:p w:rsidR="00423585" w:rsidRPr="00423585" w:rsidRDefault="00423585" w:rsidP="00C417BF">
      <w:pPr>
        <w:jc w:val="both"/>
        <w:rPr>
          <w:bCs/>
          <w:noProof/>
          <w:lang w:val="it-IT" w:bidi="pl-PL"/>
        </w:rPr>
      </w:pPr>
      <w:r w:rsidRPr="00423585">
        <w:rPr>
          <w:bCs/>
          <w:noProof/>
          <w:lang w:bidi="pl-PL"/>
        </w:rPr>
        <w:t xml:space="preserve">Sztuka lat 1950-tych zazwyczaj kojarzona jest albo z narzuconym przez władze realizmem socjalistycznym, albo </w:t>
      </w:r>
      <w:r w:rsidR="007430A8">
        <w:rPr>
          <w:bCs/>
          <w:noProof/>
          <w:lang w:bidi="pl-PL"/>
        </w:rPr>
        <w:t>„</w:t>
      </w:r>
      <w:r w:rsidRPr="00423585">
        <w:rPr>
          <w:bCs/>
          <w:noProof/>
          <w:lang w:bidi="pl-PL"/>
        </w:rPr>
        <w:t>odwilżową</w:t>
      </w:r>
      <w:r w:rsidR="007430A8">
        <w:rPr>
          <w:bCs/>
          <w:noProof/>
          <w:lang w:bidi="pl-PL"/>
        </w:rPr>
        <w:t>”</w:t>
      </w:r>
      <w:r w:rsidRPr="00423585">
        <w:rPr>
          <w:bCs/>
          <w:noProof/>
          <w:lang w:bidi="pl-PL"/>
        </w:rPr>
        <w:t xml:space="preserve"> abstrakcją. </w:t>
      </w:r>
    </w:p>
    <w:p w:rsidR="00423585" w:rsidRPr="00423585" w:rsidRDefault="00423585" w:rsidP="00C417BF">
      <w:pPr>
        <w:jc w:val="both"/>
        <w:rPr>
          <w:noProof/>
          <w:lang w:bidi="pl-PL"/>
        </w:rPr>
      </w:pPr>
      <w:r w:rsidRPr="00423585">
        <w:rPr>
          <w:noProof/>
          <w:lang w:bidi="pl-PL"/>
        </w:rPr>
        <w:t xml:space="preserve">Jeśli już osadza się sztukę PRL-u w kontekście międzynarodowym, to niemal zawsze jest to odwołanie do kanonu Zachodniego. Rzadko pojawiają się odwołania do wzorców płynących z Moskwy. Tymczasem, dominujące obecnie w humanistyce badania postkolonialne przypominają, że także PRL funkcjonował w kontekście globalnym i tak też powinniśmy rozpatrywać sztukę wówczas powstającą. Tym bardziej, że kontakty z tzw. Trzecim Światem były niezwykle ożywione. Polscy artyści, architekci, filmowcy i pisarze uczestniczyli w wymianach z twórcami z krajów Afrykańskich, Azjatyckich i Ameryki Łacińskiej. </w:t>
      </w:r>
    </w:p>
    <w:p w:rsidR="00423585" w:rsidRPr="00423585" w:rsidRDefault="00423585" w:rsidP="00C417BF">
      <w:pPr>
        <w:jc w:val="both"/>
        <w:rPr>
          <w:noProof/>
          <w:lang w:bidi="pl-PL"/>
        </w:rPr>
      </w:pPr>
      <w:r w:rsidRPr="00423585">
        <w:rPr>
          <w:noProof/>
          <w:lang w:bidi="pl-PL"/>
        </w:rPr>
        <w:t>Liczne wystawy sztuki obcej i relacje z egzotycznych podroży w prasie zapewniały kontakt z globalnym światem. A doktryna socrealizmu czerpać miała ze wzorców artystycznych wyprac</w:t>
      </w:r>
      <w:r w:rsidR="00C417BF">
        <w:rPr>
          <w:noProof/>
          <w:lang w:bidi="pl-PL"/>
        </w:rPr>
        <w:t>owanych przez „</w:t>
      </w:r>
      <w:r w:rsidRPr="00423585">
        <w:rPr>
          <w:noProof/>
          <w:lang w:bidi="pl-PL"/>
        </w:rPr>
        <w:t xml:space="preserve">braci </w:t>
      </w:r>
      <w:r w:rsidRPr="00423585">
        <w:rPr>
          <w:noProof/>
          <w:lang w:bidi="pl-PL"/>
        </w:rPr>
        <w:lastRenderedPageBreak/>
        <w:t>młodszych w komunizmie</w:t>
      </w:r>
      <w:r w:rsidR="007430A8">
        <w:rPr>
          <w:noProof/>
          <w:lang w:bidi="pl-PL"/>
        </w:rPr>
        <w:t>”</w:t>
      </w:r>
      <w:r w:rsidRPr="00423585">
        <w:rPr>
          <w:noProof/>
          <w:lang w:bidi="pl-PL"/>
        </w:rPr>
        <w:t xml:space="preserve">. Twórczość artystów, takich jak osiągający sukcesy na całym świecie Tadeusz Kulisiewicz i Aleksander Kobzdej, wpisane były także w globalne ruchy dekolonizacyjne oraz na rzecz pokoju. </w:t>
      </w:r>
    </w:p>
    <w:p w:rsidR="00423585" w:rsidRPr="00423585" w:rsidRDefault="00423585" w:rsidP="00C417BF">
      <w:pPr>
        <w:jc w:val="both"/>
        <w:rPr>
          <w:noProof/>
          <w:lang w:val="it-IT" w:bidi="pl-PL"/>
        </w:rPr>
      </w:pPr>
      <w:r w:rsidRPr="00423585">
        <w:rPr>
          <w:noProof/>
          <w:lang w:bidi="pl-PL"/>
        </w:rPr>
        <w:t>Lata 1950 to wciąż żywa pamięć po XX WŚ i nadal panowało przekonanie, że kolejny globalny konflikt zbrojny jest bliski i należy mu przeciwdziałać wszelkimi sposobami. W ty celu zaprzęgano sztukę zarówno we Wschodniej, jak i  Zachodniej machinie propagandowej.</w:t>
      </w:r>
    </w:p>
    <w:p w:rsidR="005C6D45" w:rsidRDefault="00423585" w:rsidP="00423585">
      <w:pPr>
        <w:jc w:val="right"/>
        <w:rPr>
          <w:noProof/>
          <w:lang w:bidi="pl-PL"/>
        </w:rPr>
      </w:pPr>
      <w:r>
        <w:rPr>
          <w:noProof/>
          <w:lang w:bidi="pl-PL"/>
        </w:rPr>
        <w:t>(10 III 2020)</w:t>
      </w:r>
    </w:p>
    <w:p w:rsidR="00423585" w:rsidRPr="00895090" w:rsidRDefault="00423585" w:rsidP="00423585">
      <w:pPr>
        <w:jc w:val="right"/>
        <w:rPr>
          <w:noProof/>
        </w:rPr>
      </w:pPr>
    </w:p>
    <w:p w:rsidR="005C6D45" w:rsidRPr="00CD430C" w:rsidRDefault="00625976" w:rsidP="001C5DE9">
      <w:pPr>
        <w:pStyle w:val="Styl1"/>
        <w:rPr>
          <w:noProof/>
        </w:rPr>
      </w:pPr>
      <w:bookmarkStart w:id="7" w:name="_Toc132624656"/>
      <w:r w:rsidRPr="00E14010">
        <w:t>Izabela Kopania</w:t>
      </w:r>
      <w:r w:rsidR="0061638B" w:rsidRPr="00E14010">
        <w:t xml:space="preserve"> (IS PAN)</w:t>
      </w:r>
      <w:r w:rsidRPr="00E14010">
        <w:t>,</w:t>
      </w:r>
      <w:r w:rsidRPr="00625976">
        <w:t xml:space="preserve"> </w:t>
      </w:r>
      <w:r w:rsidRPr="00CD430C">
        <w:rPr>
          <w:lang w:bidi="pl-PL"/>
        </w:rPr>
        <w:t xml:space="preserve">Zapożyczenia – reinterpretacje – </w:t>
      </w:r>
      <w:r w:rsidRPr="00CD430C">
        <w:t>hybrydyzacje</w:t>
      </w:r>
      <w:r w:rsidRPr="00CD430C">
        <w:rPr>
          <w:lang w:bidi="pl-PL"/>
        </w:rPr>
        <w:t xml:space="preserve">. Rzeczy w przestrzeni </w:t>
      </w:r>
      <w:r w:rsidRPr="00CD430C">
        <w:t>kontaktów</w:t>
      </w:r>
      <w:r w:rsidRPr="00CD430C">
        <w:rPr>
          <w:lang w:bidi="pl-PL"/>
        </w:rPr>
        <w:t xml:space="preserve"> między krajami europejskimi a krajami Dalekiego Wschodu w dobie nowożytnej</w:t>
      </w:r>
      <w:bookmarkEnd w:id="7"/>
    </w:p>
    <w:p w:rsidR="00625976" w:rsidRPr="00625976" w:rsidRDefault="00625976" w:rsidP="00C417BF">
      <w:pPr>
        <w:jc w:val="both"/>
        <w:rPr>
          <w:bCs/>
          <w:noProof/>
          <w:lang w:bidi="pl-PL"/>
        </w:rPr>
      </w:pPr>
      <w:r w:rsidRPr="00625976">
        <w:rPr>
          <w:bCs/>
          <w:noProof/>
          <w:lang w:bidi="pl-PL"/>
        </w:rPr>
        <w:t>Intensywne w dwóch ostatnich dekadach badania nad globalnym obiegiem rzeczy w dobie nowożytnej dobitnie wskazują na ogromną rolę, jaką w kształtowaniu kultury materialnej i wizualnej, jak też rynku, w tym rynku wyrobów luksusowych Starego Kontynentu odegrały importy z Chin.</w:t>
      </w:r>
      <w:r>
        <w:rPr>
          <w:bCs/>
          <w:noProof/>
          <w:lang w:bidi="pl-PL"/>
        </w:rPr>
        <w:t xml:space="preserve"> </w:t>
      </w:r>
      <w:r w:rsidRPr="00625976">
        <w:rPr>
          <w:bCs/>
          <w:noProof/>
          <w:lang w:bidi="pl-PL"/>
        </w:rPr>
        <w:t xml:space="preserve">Od kilku lat badacze z równą uwagą przyglądają się miejscu obiektów europejskich w kulturze cesarstwa doby wczesnej dynastii Qing (1644-1796). Terminy takie jak </w:t>
      </w:r>
      <w:r w:rsidRPr="00625976">
        <w:rPr>
          <w:bCs/>
          <w:i/>
          <w:noProof/>
          <w:lang w:bidi="pl-PL"/>
        </w:rPr>
        <w:t>chinoiserie</w:t>
      </w:r>
      <w:r w:rsidRPr="00625976">
        <w:rPr>
          <w:bCs/>
          <w:noProof/>
          <w:lang w:bidi="pl-PL"/>
        </w:rPr>
        <w:t xml:space="preserve">, chińska sztuka eksportowa czy </w:t>
      </w:r>
      <w:r w:rsidRPr="00625976">
        <w:rPr>
          <w:bCs/>
          <w:i/>
          <w:noProof/>
          <w:lang w:bidi="pl-PL"/>
        </w:rPr>
        <w:t>occidenterie</w:t>
      </w:r>
      <w:r w:rsidRPr="00625976">
        <w:rPr>
          <w:bCs/>
          <w:noProof/>
          <w:lang w:val="it-IT" w:bidi="pl-PL"/>
        </w:rPr>
        <w:t xml:space="preserve"> </w:t>
      </w:r>
      <w:r w:rsidRPr="00625976">
        <w:rPr>
          <w:bCs/>
          <w:noProof/>
          <w:lang w:bidi="pl-PL"/>
        </w:rPr>
        <w:t xml:space="preserve">dobrze zadomowione w badaniach nad kulturą tego okresu, z jednej strony porządkują świat rzeczy powstałych </w:t>
      </w:r>
      <w:r w:rsidR="007430A8">
        <w:rPr>
          <w:bCs/>
          <w:noProof/>
          <w:lang w:bidi="pl-PL"/>
        </w:rPr>
        <w:t>„</w:t>
      </w:r>
      <w:r w:rsidRPr="00625976">
        <w:rPr>
          <w:bCs/>
          <w:noProof/>
          <w:lang w:bidi="pl-PL"/>
        </w:rPr>
        <w:t>na styku kultur, z drugiej zaś przesłaniają przedmioty jako takie, ich strukturę, kulturowe nawarstwienia, funkcję i sposób, w jaki mogły być postrzegane przez ich odbiorców.</w:t>
      </w:r>
    </w:p>
    <w:p w:rsidR="00625976" w:rsidRPr="00625976" w:rsidRDefault="00625976" w:rsidP="00C417BF">
      <w:pPr>
        <w:jc w:val="both"/>
        <w:rPr>
          <w:bCs/>
          <w:noProof/>
          <w:lang w:bidi="pl-PL"/>
        </w:rPr>
      </w:pPr>
      <w:r w:rsidRPr="00625976">
        <w:rPr>
          <w:bCs/>
          <w:noProof/>
          <w:lang w:bidi="pl-PL"/>
        </w:rPr>
        <w:t xml:space="preserve">W </w:t>
      </w:r>
      <w:r w:rsidR="007430A8">
        <w:rPr>
          <w:bCs/>
          <w:noProof/>
          <w:lang w:bidi="pl-PL"/>
        </w:rPr>
        <w:t>„</w:t>
      </w:r>
      <w:r w:rsidRPr="00625976">
        <w:rPr>
          <w:bCs/>
          <w:noProof/>
          <w:lang w:bidi="pl-PL"/>
        </w:rPr>
        <w:t>eurazjatyckiej</w:t>
      </w:r>
      <w:r w:rsidR="007430A8">
        <w:rPr>
          <w:bCs/>
          <w:noProof/>
          <w:lang w:bidi="pl-PL"/>
        </w:rPr>
        <w:t>”</w:t>
      </w:r>
      <w:r w:rsidRPr="00625976">
        <w:rPr>
          <w:bCs/>
          <w:noProof/>
          <w:lang w:bidi="pl-PL"/>
        </w:rPr>
        <w:t xml:space="preserve"> przestrzeni kontaktów powstawały przedmioty hybrydalne, zbudowane tak z europejskich, jak i azjatyckich materiałów i motywów wizualnych: obiekty dekoracyjne, użytkowe, ryciny, przedstawienia malarskie. W trakcie spotkania przyjrzę się kilku wybranym obiektom, ich </w:t>
      </w:r>
      <w:r w:rsidR="007430A8">
        <w:rPr>
          <w:bCs/>
          <w:noProof/>
          <w:lang w:bidi="pl-PL"/>
        </w:rPr>
        <w:t>„</w:t>
      </w:r>
      <w:r w:rsidRPr="00625976">
        <w:rPr>
          <w:bCs/>
          <w:noProof/>
          <w:lang w:bidi="pl-PL"/>
        </w:rPr>
        <w:t>europejskim</w:t>
      </w:r>
      <w:r w:rsidR="007430A8">
        <w:rPr>
          <w:bCs/>
          <w:noProof/>
          <w:lang w:bidi="pl-PL"/>
        </w:rPr>
        <w:t>”</w:t>
      </w:r>
      <w:r w:rsidRPr="00625976">
        <w:rPr>
          <w:bCs/>
          <w:noProof/>
          <w:lang w:bidi="pl-PL"/>
        </w:rPr>
        <w:t xml:space="preserve"> i </w:t>
      </w:r>
      <w:r w:rsidR="007430A8">
        <w:rPr>
          <w:bCs/>
          <w:noProof/>
          <w:lang w:bidi="pl-PL"/>
        </w:rPr>
        <w:t>„</w:t>
      </w:r>
      <w:r w:rsidRPr="00625976">
        <w:rPr>
          <w:bCs/>
          <w:noProof/>
          <w:lang w:bidi="pl-PL"/>
        </w:rPr>
        <w:t>azjatyckim</w:t>
      </w:r>
      <w:r w:rsidR="007430A8">
        <w:rPr>
          <w:bCs/>
          <w:noProof/>
          <w:lang w:bidi="pl-PL"/>
        </w:rPr>
        <w:t>”</w:t>
      </w:r>
      <w:r w:rsidRPr="00625976">
        <w:rPr>
          <w:bCs/>
          <w:noProof/>
          <w:lang w:bidi="pl-PL"/>
        </w:rPr>
        <w:t xml:space="preserve"> komponentom, sposobom włączania obcych kulturowo motywów i</w:t>
      </w:r>
      <w:r w:rsidR="00C417BF">
        <w:rPr>
          <w:bCs/>
          <w:noProof/>
          <w:lang w:bidi="pl-PL"/>
        </w:rPr>
        <w:t> </w:t>
      </w:r>
      <w:r w:rsidRPr="00625976">
        <w:rPr>
          <w:bCs/>
          <w:noProof/>
          <w:lang w:bidi="pl-PL"/>
        </w:rPr>
        <w:t xml:space="preserve">materiałów w obręb kultury przyjmującej, ich reinterpretacjom oraz sposobowi, w jaki odpowiadały na potrzeby odbiorców.   </w:t>
      </w:r>
    </w:p>
    <w:p w:rsidR="00625976" w:rsidRDefault="00625976" w:rsidP="00625976">
      <w:pPr>
        <w:jc w:val="right"/>
        <w:rPr>
          <w:bCs/>
          <w:noProof/>
          <w:lang w:val="it-IT" w:bidi="pl-PL"/>
        </w:rPr>
      </w:pPr>
      <w:r>
        <w:rPr>
          <w:bCs/>
          <w:noProof/>
          <w:lang w:val="it-IT" w:bidi="pl-PL"/>
        </w:rPr>
        <w:t>(1 XII 2020)</w:t>
      </w:r>
    </w:p>
    <w:p w:rsidR="00625976" w:rsidRPr="00625976" w:rsidRDefault="00625976" w:rsidP="00625976">
      <w:pPr>
        <w:jc w:val="right"/>
        <w:rPr>
          <w:bCs/>
          <w:noProof/>
          <w:lang w:val="it-IT" w:bidi="pl-PL"/>
        </w:rPr>
      </w:pPr>
    </w:p>
    <w:p w:rsidR="00625976" w:rsidRPr="00CD430C" w:rsidRDefault="00625976" w:rsidP="001C5DE9">
      <w:pPr>
        <w:pStyle w:val="Styl1"/>
      </w:pPr>
      <w:bookmarkStart w:id="8" w:name="_Toc132624657"/>
      <w:r w:rsidRPr="00E14010">
        <w:t xml:space="preserve">Magdalena </w:t>
      </w:r>
      <w:proofErr w:type="spellStart"/>
      <w:r w:rsidRPr="00E14010">
        <w:t>Hasiuk-Świerzbińska</w:t>
      </w:r>
      <w:proofErr w:type="spellEnd"/>
      <w:r w:rsidR="0061638B" w:rsidRPr="00E14010">
        <w:t xml:space="preserve"> (IS PAN)</w:t>
      </w:r>
      <w:r w:rsidRPr="00E14010">
        <w:t>,</w:t>
      </w:r>
      <w:r w:rsidRPr="00625976">
        <w:t xml:space="preserve"> </w:t>
      </w:r>
      <w:r w:rsidRPr="004F6481">
        <w:t>Wyprawy Teatru Węgajty 1986–2019 – spotkania teatralne na pograniczach</w:t>
      </w:r>
      <w:bookmarkEnd w:id="8"/>
    </w:p>
    <w:p w:rsidR="00625976" w:rsidRPr="00625976" w:rsidRDefault="00625976" w:rsidP="00C417BF">
      <w:pPr>
        <w:jc w:val="both"/>
        <w:rPr>
          <w:noProof/>
          <w:lang w:val="it-IT" w:bidi="pl-PL"/>
        </w:rPr>
      </w:pPr>
      <w:r w:rsidRPr="00625976">
        <w:rPr>
          <w:noProof/>
          <w:lang w:bidi="pl-PL"/>
        </w:rPr>
        <w:t xml:space="preserve">Od początku istnienia Teatru Węgajty wyprawy stanowią ważną formę jego działalności. Na jej wykształcenie wpłynęły nie tylko wybory artystyczne, ale również doświadczenia migracyjne twórców zespołu </w:t>
      </w:r>
    </w:p>
    <w:p w:rsidR="00625976" w:rsidRPr="00625976" w:rsidRDefault="007430A8" w:rsidP="00C417BF">
      <w:pPr>
        <w:jc w:val="both"/>
        <w:rPr>
          <w:noProof/>
          <w:lang w:bidi="pl-PL"/>
        </w:rPr>
      </w:pPr>
      <w:r>
        <w:rPr>
          <w:noProof/>
          <w:lang w:bidi="pl-PL"/>
        </w:rPr>
        <w:t>„</w:t>
      </w:r>
      <w:r w:rsidR="00625976" w:rsidRPr="00625976">
        <w:rPr>
          <w:noProof/>
          <w:lang w:bidi="pl-PL"/>
        </w:rPr>
        <w:t>Podróż, ruch, bycie gdzie indziej</w:t>
      </w:r>
      <w:r>
        <w:rPr>
          <w:noProof/>
          <w:lang w:bidi="pl-PL"/>
        </w:rPr>
        <w:t>”</w:t>
      </w:r>
      <w:r w:rsidR="00625976" w:rsidRPr="00625976">
        <w:rPr>
          <w:noProof/>
          <w:lang w:bidi="pl-PL"/>
        </w:rPr>
        <w:t xml:space="preserve"> praktykowane od ponad trzydziestu lat dopełniają sposób pracy gospodarstwa teatralnego zbudowanego na warmińskiej wsi i kierowanego przez Wacława i Erdmute Sobaszków. Wyprawa nie tylko pozwala </w:t>
      </w:r>
      <w:r>
        <w:rPr>
          <w:noProof/>
          <w:lang w:bidi="pl-PL"/>
        </w:rPr>
        <w:t>„</w:t>
      </w:r>
      <w:r w:rsidR="00625976" w:rsidRPr="00625976">
        <w:rPr>
          <w:noProof/>
          <w:lang w:bidi="pl-PL"/>
        </w:rPr>
        <w:t>doświadczyć czegoś niedomowego: głodu, chłodu, niewygód, chorób, śmierci</w:t>
      </w:r>
      <w:r>
        <w:rPr>
          <w:noProof/>
          <w:lang w:bidi="pl-PL"/>
        </w:rPr>
        <w:t>”</w:t>
      </w:r>
      <w:r w:rsidR="00625976" w:rsidRPr="00625976">
        <w:rPr>
          <w:noProof/>
          <w:lang w:bidi="pl-PL"/>
        </w:rPr>
        <w:t xml:space="preserve">, </w:t>
      </w:r>
      <w:r>
        <w:rPr>
          <w:noProof/>
          <w:lang w:bidi="pl-PL"/>
        </w:rPr>
        <w:t>„</w:t>
      </w:r>
      <w:r w:rsidR="00625976" w:rsidRPr="00625976">
        <w:rPr>
          <w:noProof/>
          <w:lang w:bidi="pl-PL"/>
        </w:rPr>
        <w:t>wrócić do sytuacji elementarnej przejść przez rodzaj ‘experimentum crucis’, być bez zabezpieczenia pod gołym niebem, na ziemi twardej</w:t>
      </w:r>
      <w:r>
        <w:rPr>
          <w:noProof/>
          <w:lang w:bidi="pl-PL"/>
        </w:rPr>
        <w:t>”</w:t>
      </w:r>
      <w:r w:rsidR="00625976" w:rsidRPr="00625976">
        <w:rPr>
          <w:noProof/>
          <w:lang w:bidi="pl-PL"/>
        </w:rPr>
        <w:t>, ale</w:t>
      </w:r>
      <w:r w:rsidR="00625976">
        <w:rPr>
          <w:noProof/>
          <w:lang w:bidi="pl-PL"/>
        </w:rPr>
        <w:t xml:space="preserve"> </w:t>
      </w:r>
      <w:r w:rsidR="00625976" w:rsidRPr="00625976">
        <w:rPr>
          <w:noProof/>
          <w:lang w:bidi="pl-PL"/>
        </w:rPr>
        <w:t xml:space="preserve">również przybyć do obszarów pomijanych, zapomnianych, </w:t>
      </w:r>
      <w:r>
        <w:rPr>
          <w:noProof/>
          <w:lang w:bidi="pl-PL"/>
        </w:rPr>
        <w:t>„</w:t>
      </w:r>
      <w:r w:rsidR="00625976" w:rsidRPr="00625976">
        <w:rPr>
          <w:noProof/>
          <w:lang w:bidi="pl-PL"/>
        </w:rPr>
        <w:t>ubogich</w:t>
      </w:r>
      <w:r>
        <w:rPr>
          <w:noProof/>
          <w:lang w:bidi="pl-PL"/>
        </w:rPr>
        <w:t>”</w:t>
      </w:r>
      <w:r w:rsidR="00625976" w:rsidRPr="00625976">
        <w:rPr>
          <w:noProof/>
          <w:lang w:bidi="pl-PL"/>
        </w:rPr>
        <w:t xml:space="preserve">, żeby tutaj się spotkać, </w:t>
      </w:r>
      <w:r>
        <w:rPr>
          <w:noProof/>
          <w:lang w:bidi="pl-PL"/>
        </w:rPr>
        <w:t>„</w:t>
      </w:r>
      <w:r w:rsidR="00625976" w:rsidRPr="00625976">
        <w:rPr>
          <w:noProof/>
          <w:lang w:bidi="pl-PL"/>
        </w:rPr>
        <w:t>snuć dialog</w:t>
      </w:r>
      <w:r>
        <w:rPr>
          <w:noProof/>
          <w:lang w:bidi="pl-PL"/>
        </w:rPr>
        <w:t>”</w:t>
      </w:r>
      <w:r w:rsidR="00625976" w:rsidRPr="00625976">
        <w:rPr>
          <w:noProof/>
          <w:lang w:bidi="pl-PL"/>
        </w:rPr>
        <w:t xml:space="preserve">, </w:t>
      </w:r>
      <w:r>
        <w:rPr>
          <w:noProof/>
          <w:lang w:bidi="pl-PL"/>
        </w:rPr>
        <w:t>„</w:t>
      </w:r>
      <w:r w:rsidR="00625976" w:rsidRPr="00625976">
        <w:rPr>
          <w:noProof/>
          <w:lang w:bidi="pl-PL"/>
        </w:rPr>
        <w:t>być gościem, ‘hostis’, bliskim obcym</w:t>
      </w:r>
      <w:r>
        <w:rPr>
          <w:noProof/>
          <w:lang w:bidi="pl-PL"/>
        </w:rPr>
        <w:t>”</w:t>
      </w:r>
      <w:r w:rsidR="00625976" w:rsidRPr="00625976">
        <w:rPr>
          <w:noProof/>
          <w:lang w:bidi="pl-PL"/>
        </w:rPr>
        <w:t xml:space="preserve"> (Wacław Sobaszek). Z doświadczeniem obcości wpisanym w teatr, który ze swej natury kwestionuje i podważa różne granice i  hierarchie społeczne, twórcy Teatru Węgajty trafiają/trafiali podczas wypraw przede wszystkim na obszary kulturowych pogranicz oraz do miejsc o silnie zaznaczonej odrębności </w:t>
      </w:r>
      <w:r w:rsidR="00625976" w:rsidRPr="00625976">
        <w:rPr>
          <w:noProof/>
          <w:lang w:bidi="pl-PL"/>
        </w:rPr>
        <w:lastRenderedPageBreak/>
        <w:t>kulturowej. W Polsce podróżowali/podróżują przede wszystkim w Beskid Niski, na Suwalszczyznę, na Warmię i na Kurpie, w Europie – na Huculszczyznę, do Macedonii, Albanii, Katalonii.</w:t>
      </w:r>
    </w:p>
    <w:p w:rsidR="00625976" w:rsidRPr="00625976" w:rsidRDefault="00625976" w:rsidP="00C417BF">
      <w:pPr>
        <w:jc w:val="both"/>
        <w:rPr>
          <w:noProof/>
          <w:lang w:bidi="pl-PL"/>
        </w:rPr>
      </w:pPr>
      <w:r w:rsidRPr="00625976">
        <w:rPr>
          <w:noProof/>
          <w:lang w:bidi="pl-PL"/>
        </w:rPr>
        <w:t xml:space="preserve">Wyprawy od początku pełniły różnorodne funkcje: badawcze (dokumentacyjno – reanimacyjne w odniesieniu do </w:t>
      </w:r>
      <w:r w:rsidR="007430A8">
        <w:rPr>
          <w:noProof/>
          <w:lang w:bidi="pl-PL"/>
        </w:rPr>
        <w:t>„</w:t>
      </w:r>
      <w:r w:rsidRPr="00625976">
        <w:rPr>
          <w:noProof/>
          <w:lang w:bidi="pl-PL"/>
        </w:rPr>
        <w:t>etnicznych źródeł kultury</w:t>
      </w:r>
      <w:r w:rsidR="007430A8">
        <w:rPr>
          <w:noProof/>
          <w:lang w:bidi="pl-PL"/>
        </w:rPr>
        <w:t>”</w:t>
      </w:r>
      <w:r w:rsidRPr="00625976">
        <w:rPr>
          <w:noProof/>
          <w:lang w:bidi="pl-PL"/>
        </w:rPr>
        <w:t xml:space="preserve">), formacyjne (kształtujące tożsamość artystów i ujawniające tożsamość gospodarzy), społecznotwórcze. Były okazją do czerpania inspiracji artystycznych, ale także testowania pomysłów i rozwiązań teatralnych wobec </w:t>
      </w:r>
      <w:r w:rsidR="007430A8">
        <w:rPr>
          <w:noProof/>
          <w:lang w:bidi="pl-PL"/>
        </w:rPr>
        <w:t>„</w:t>
      </w:r>
      <w:r w:rsidRPr="00625976">
        <w:rPr>
          <w:noProof/>
          <w:lang w:bidi="pl-PL"/>
        </w:rPr>
        <w:t>niezwyczajnej publiczności</w:t>
      </w:r>
      <w:r w:rsidR="007430A8">
        <w:rPr>
          <w:noProof/>
          <w:lang w:bidi="pl-PL"/>
        </w:rPr>
        <w:t>”</w:t>
      </w:r>
      <w:r w:rsidRPr="00625976">
        <w:rPr>
          <w:noProof/>
          <w:lang w:bidi="pl-PL"/>
        </w:rPr>
        <w:t>.</w:t>
      </w:r>
    </w:p>
    <w:p w:rsidR="00625976" w:rsidRPr="00625976" w:rsidRDefault="00625976" w:rsidP="00C417BF">
      <w:pPr>
        <w:jc w:val="both"/>
        <w:rPr>
          <w:noProof/>
          <w:lang w:bidi="pl-PL"/>
        </w:rPr>
      </w:pPr>
      <w:r w:rsidRPr="00625976">
        <w:rPr>
          <w:noProof/>
          <w:lang w:bidi="pl-PL"/>
        </w:rPr>
        <w:t xml:space="preserve">Przyglądając się wyprawom Teatru Węgajty pragnę posłużyć się terminem </w:t>
      </w:r>
      <w:r w:rsidR="007430A8">
        <w:rPr>
          <w:noProof/>
          <w:lang w:bidi="pl-PL"/>
        </w:rPr>
        <w:t>„</w:t>
      </w:r>
      <w:r w:rsidRPr="00625976">
        <w:rPr>
          <w:noProof/>
          <w:lang w:bidi="pl-PL"/>
        </w:rPr>
        <w:t>ekotonu</w:t>
      </w:r>
      <w:r w:rsidR="007430A8">
        <w:rPr>
          <w:noProof/>
          <w:lang w:bidi="pl-PL"/>
        </w:rPr>
        <w:t>”</w:t>
      </w:r>
      <w:r w:rsidRPr="00625976">
        <w:rPr>
          <w:noProof/>
          <w:lang w:bidi="pl-PL"/>
        </w:rPr>
        <w:t xml:space="preserve"> przejętym z ekologii (Ewa Kępa, 2019) i potraktować je jak narzędzie kształtowania efemerycznej przestrzeni, którą cechuje </w:t>
      </w:r>
      <w:r w:rsidR="007430A8">
        <w:rPr>
          <w:noProof/>
          <w:lang w:bidi="pl-PL"/>
        </w:rPr>
        <w:t>„</w:t>
      </w:r>
      <w:r w:rsidRPr="00625976">
        <w:rPr>
          <w:noProof/>
          <w:lang w:bidi="pl-PL"/>
        </w:rPr>
        <w:t>różnorodność, odporność, napięcie i zdolność adaptacji</w:t>
      </w:r>
      <w:r w:rsidR="007430A8">
        <w:rPr>
          <w:noProof/>
          <w:lang w:bidi="pl-PL"/>
        </w:rPr>
        <w:t>”</w:t>
      </w:r>
      <w:r w:rsidRPr="00625976">
        <w:rPr>
          <w:noProof/>
          <w:lang w:bidi="pl-PL"/>
        </w:rPr>
        <w:t xml:space="preserve">. Wyprawy Teatru Węgajty to specyficzne doświadczenie egzystencjalno-artystyczne, dzięki któremu możliwe staje się spotkanie </w:t>
      </w:r>
      <w:r w:rsidR="007430A8">
        <w:rPr>
          <w:noProof/>
          <w:lang w:bidi="pl-PL"/>
        </w:rPr>
        <w:t>„</w:t>
      </w:r>
      <w:r w:rsidRPr="00625976">
        <w:rPr>
          <w:noProof/>
          <w:lang w:bidi="pl-PL"/>
        </w:rPr>
        <w:t>tego, co na co dzień pozostaje oddzielone, co z pozoru trwa w odrębnych obszarach istnienia</w:t>
      </w:r>
      <w:r w:rsidR="007430A8">
        <w:rPr>
          <w:noProof/>
          <w:lang w:bidi="pl-PL"/>
        </w:rPr>
        <w:t>”</w:t>
      </w:r>
      <w:r w:rsidRPr="00625976">
        <w:rPr>
          <w:noProof/>
          <w:lang w:bidi="pl-PL"/>
        </w:rPr>
        <w:t>.</w:t>
      </w:r>
    </w:p>
    <w:p w:rsidR="00625976" w:rsidRDefault="00662706" w:rsidP="0061638B">
      <w:pPr>
        <w:jc w:val="right"/>
        <w:rPr>
          <w:noProof/>
          <w:lang w:bidi="pl-PL"/>
        </w:rPr>
      </w:pPr>
      <w:r>
        <w:rPr>
          <w:noProof/>
          <w:lang w:bidi="pl-PL"/>
        </w:rPr>
        <w:t>(12 I 2021)</w:t>
      </w:r>
    </w:p>
    <w:p w:rsidR="00662706" w:rsidRPr="00662706" w:rsidRDefault="00662706" w:rsidP="00662706">
      <w:pPr>
        <w:rPr>
          <w:lang w:bidi="pl-PL"/>
        </w:rPr>
      </w:pPr>
    </w:p>
    <w:p w:rsidR="00662706" w:rsidRPr="00662706" w:rsidRDefault="00662706" w:rsidP="001C5DE9">
      <w:pPr>
        <w:pStyle w:val="Styl1"/>
      </w:pPr>
      <w:bookmarkStart w:id="9" w:name="_Toc132624658"/>
      <w:r w:rsidRPr="00E14010">
        <w:t>Jolanta Guzy-Pasiak</w:t>
      </w:r>
      <w:r w:rsidR="0061638B" w:rsidRPr="00E14010">
        <w:t xml:space="preserve"> (IS PAN)</w:t>
      </w:r>
      <w:r w:rsidRPr="00E14010">
        <w:t>,</w:t>
      </w:r>
      <w:r w:rsidRPr="00662706">
        <w:t xml:space="preserve"> </w:t>
      </w:r>
      <w:r w:rsidRPr="00E14010">
        <w:t>Beata Bolesławska-Lewandowska</w:t>
      </w:r>
      <w:r w:rsidR="0061638B" w:rsidRPr="00E14010">
        <w:t xml:space="preserve"> (IS PAN)</w:t>
      </w:r>
      <w:r w:rsidRPr="00E14010">
        <w:t>,</w:t>
      </w:r>
      <w:r w:rsidRPr="00662706">
        <w:t xml:space="preserve"> </w:t>
      </w:r>
      <w:r w:rsidRPr="00662706">
        <w:rPr>
          <w:rStyle w:val="Uwydatnienie"/>
          <w:rFonts w:ascii="Segoe UI Light" w:hAnsi="Segoe UI Light" w:cs="Segoe UI Light"/>
          <w:b w:val="0"/>
          <w:iCs w:val="0"/>
          <w:color w:val="3B3838"/>
        </w:rPr>
        <w:t xml:space="preserve">Migracje spuścizn </w:t>
      </w:r>
      <w:r w:rsidRPr="00CD430C">
        <w:rPr>
          <w:rStyle w:val="Uwydatnienie"/>
          <w:rFonts w:ascii="Segoe UI Light" w:hAnsi="Segoe UI Light" w:cs="Segoe UI Light"/>
          <w:b w:val="0"/>
          <w:iCs w:val="0"/>
          <w:color w:val="3B3838"/>
        </w:rPr>
        <w:t>kompozytorów</w:t>
      </w:r>
      <w:r w:rsidRPr="00662706">
        <w:rPr>
          <w:rStyle w:val="Uwydatnienie"/>
          <w:rFonts w:ascii="Segoe UI Light" w:hAnsi="Segoe UI Light" w:cs="Segoe UI Light"/>
          <w:b w:val="0"/>
          <w:iCs w:val="0"/>
          <w:color w:val="3B3838"/>
        </w:rPr>
        <w:t xml:space="preserve"> polskich</w:t>
      </w:r>
      <w:bookmarkEnd w:id="9"/>
    </w:p>
    <w:p w:rsidR="00662706" w:rsidRPr="003F64E6" w:rsidRDefault="00662706" w:rsidP="00662706">
      <w:pPr>
        <w:pStyle w:val="Wyrnienieoferty"/>
        <w:rPr>
          <w:lang w:eastAsia="pl-PL"/>
        </w:rPr>
      </w:pPr>
      <w:r w:rsidRPr="003F64E6">
        <w:rPr>
          <w:rFonts w:cstheme="majorHAnsi"/>
          <w:shd w:val="clear" w:color="auto" w:fill="FFFFFF"/>
          <w:lang w:eastAsia="pl-PL"/>
        </w:rPr>
        <w:t>I.</w:t>
      </w:r>
      <w:r w:rsidRPr="003F64E6">
        <w:rPr>
          <w:lang w:eastAsia="pl-PL"/>
        </w:rPr>
        <w:t xml:space="preserve"> Przypadek Ludomira Michała Rogowskiego (1881–1954) i Karola </w:t>
      </w:r>
      <w:proofErr w:type="spellStart"/>
      <w:r w:rsidRPr="003F64E6">
        <w:rPr>
          <w:lang w:eastAsia="pl-PL"/>
        </w:rPr>
        <w:t>Rathausa</w:t>
      </w:r>
      <w:proofErr w:type="spellEnd"/>
      <w:r w:rsidRPr="003F64E6">
        <w:rPr>
          <w:lang w:eastAsia="pl-PL"/>
        </w:rPr>
        <w:t xml:space="preserve"> (1895–1954)</w:t>
      </w:r>
    </w:p>
    <w:p w:rsidR="00662706" w:rsidRDefault="00662706" w:rsidP="00C417BF">
      <w:pPr>
        <w:jc w:val="both"/>
        <w:rPr>
          <w:lang w:eastAsia="pl-PL"/>
        </w:rPr>
      </w:pPr>
      <w:r w:rsidRPr="00087988">
        <w:rPr>
          <w:lang w:eastAsia="pl-PL"/>
        </w:rPr>
        <w:t>Studia twórczości emigracyjnej, wymagające sporych nakładów czasu, pracy i pieniędzy, postępują często wolniej, niż badania nad twórczością krajową. Rzadko się bowiem zdarza, by rękopisy, opublikowane utwory i teksty o muzyce kompozytorów emigracyjnych znajdowały się w jednym miejscu, nie wspominając o innego typu dokumentach, takich jak, programy i recenzje konce</w:t>
      </w:r>
      <w:r>
        <w:rPr>
          <w:lang w:eastAsia="pl-PL"/>
        </w:rPr>
        <w:t xml:space="preserve">rtów, korespondencja prywatna i </w:t>
      </w:r>
      <w:r w:rsidRPr="00087988">
        <w:rPr>
          <w:lang w:eastAsia="pl-PL"/>
        </w:rPr>
        <w:t>oficjalna, fotografie. </w:t>
      </w:r>
    </w:p>
    <w:p w:rsidR="00662706" w:rsidRDefault="00662706" w:rsidP="00C417BF">
      <w:pPr>
        <w:jc w:val="both"/>
        <w:rPr>
          <w:lang w:eastAsia="pl-PL"/>
        </w:rPr>
      </w:pPr>
      <w:r w:rsidRPr="00087988">
        <w:rPr>
          <w:lang w:eastAsia="pl-PL"/>
        </w:rPr>
        <w:t xml:space="preserve">Rozproszenie tej spuścizny na świecie, niedogodne co prawda dla badaczy, ma zasadnicze skutki dla recepcji muzyki polskich kompozytorów. Jednym z nich, istotnym w kontekście rozważań nad kwestią transferu kulturowego, jest stała obecność i oddziaływanie kultur: polskiej – w nowej Ojczyźnie twórcy i obcej – w naszym kraju. Problem ten przedstawię na przykładzie twórczości Ludomira Michała Rogowskiego, związanego z Chorwacją i Karola </w:t>
      </w:r>
      <w:proofErr w:type="spellStart"/>
      <w:r w:rsidRPr="00087988">
        <w:rPr>
          <w:lang w:eastAsia="pl-PL"/>
        </w:rPr>
        <w:t>Rathausa</w:t>
      </w:r>
      <w:proofErr w:type="spellEnd"/>
      <w:r w:rsidRPr="00087988">
        <w:rPr>
          <w:lang w:eastAsia="pl-PL"/>
        </w:rPr>
        <w:t xml:space="preserve"> – ze Stanami Zjednoczonymi. </w:t>
      </w:r>
    </w:p>
    <w:p w:rsidR="00C417BF" w:rsidRDefault="00C417BF" w:rsidP="00C417BF">
      <w:pPr>
        <w:jc w:val="both"/>
        <w:rPr>
          <w:lang w:eastAsia="pl-PL"/>
        </w:rPr>
      </w:pPr>
    </w:p>
    <w:p w:rsidR="00662706" w:rsidRPr="0044645F" w:rsidRDefault="00662706" w:rsidP="00C417BF">
      <w:pPr>
        <w:pStyle w:val="Wyrnienieoferty"/>
        <w:jc w:val="both"/>
        <w:rPr>
          <w:color w:val="7F7F7F" w:themeColor="text1" w:themeTint="80"/>
          <w:lang w:eastAsia="pl-PL"/>
        </w:rPr>
      </w:pPr>
      <w:r w:rsidRPr="003F64E6">
        <w:rPr>
          <w:lang w:eastAsia="pl-PL"/>
        </w:rPr>
        <w:t>II. Przypadek Andrzeja Panufnika (1914–1991) i Zygmunta Mycielskiego (1907–1987)</w:t>
      </w:r>
    </w:p>
    <w:p w:rsidR="00662706" w:rsidRDefault="00662706" w:rsidP="00C417BF">
      <w:pPr>
        <w:jc w:val="both"/>
        <w:rPr>
          <w:lang w:eastAsia="pl-PL"/>
        </w:rPr>
      </w:pPr>
      <w:r w:rsidRPr="0044645F">
        <w:rPr>
          <w:lang w:eastAsia="pl-PL"/>
        </w:rPr>
        <w:t>Każdy badacz życia i działalności wybranego twórcy staje prędzej czy później w obliczu zapoznania się z pozostawioną przez niego spuścizną. A spuścizna ta może być bardzo różnorodna. Nie chodzi tu bowiem wyłącznie o zachowane dzieła – w przypadku kompozytora są to partytury jego utworów – ale i o wszelkie inne dokumenty mówiące o jego życiu i przejawach aktywności na polu twórczym, ale także społecznym, a nawet towarzyskim czy rodzinnym. Dopiero wszystkie te elementy zebrane razem dać mogą możliwie wszechstronny obraz biografii i osobowości twórcy, a także dziejów powstania kolejnych jego kompozycji.</w:t>
      </w:r>
    </w:p>
    <w:p w:rsidR="00662706" w:rsidRDefault="00662706" w:rsidP="00C417BF">
      <w:pPr>
        <w:jc w:val="both"/>
        <w:rPr>
          <w:lang w:eastAsia="pl-PL"/>
        </w:rPr>
      </w:pPr>
      <w:r w:rsidRPr="0044645F">
        <w:rPr>
          <w:lang w:eastAsia="pl-PL"/>
        </w:rPr>
        <w:t>Dotarcie do zachowanych dokumentów i materiałów archiwalnych nie zawsze jest zadaniem łatwym. Poza oficjalnie dostępnymi archiwami różnego rodzaju instytucji zawodowo zajmujących się dokumentacją życia twórców, w przypadku badań dotyczących artystów działających w II połowie XX wieku, często mamy też do czynienia z tzw. archiwami prywatnymi. Na przykładzie dwóch zaprzyjaźnionych kompozytorów: Andrzeja Panufnika i Zygmunta Mycielskiego chciałabym przyjrzeć się najważniejszym kwestiom związanym z badaniem pozostawionych przez nich spuścizn – zarówno w kontekście emigracji twórcy (Panufnik od 1954 roku mieszkał w Wielkiej Brytanii), jak też pytań związanych z transferem kulturowym oraz uzupełnianiem się i krzyżowaniem obu spuścizn.  </w:t>
      </w:r>
    </w:p>
    <w:p w:rsidR="00662706" w:rsidRDefault="00662706" w:rsidP="00662706">
      <w:pPr>
        <w:jc w:val="right"/>
        <w:rPr>
          <w:lang w:eastAsia="pl-PL"/>
        </w:rPr>
      </w:pPr>
      <w:r>
        <w:rPr>
          <w:lang w:eastAsia="pl-PL"/>
        </w:rPr>
        <w:lastRenderedPageBreak/>
        <w:t>(9 II 2021)</w:t>
      </w:r>
    </w:p>
    <w:p w:rsidR="005B7585" w:rsidRDefault="005B7585" w:rsidP="00662706">
      <w:pPr>
        <w:jc w:val="right"/>
        <w:rPr>
          <w:lang w:eastAsia="pl-PL"/>
        </w:rPr>
      </w:pPr>
    </w:p>
    <w:p w:rsidR="00662706" w:rsidRPr="00662706" w:rsidRDefault="00662706" w:rsidP="001C5DE9">
      <w:pPr>
        <w:pStyle w:val="Styl1"/>
      </w:pPr>
      <w:bookmarkStart w:id="10" w:name="_Toc132624659"/>
      <w:r w:rsidRPr="00E14010">
        <w:t xml:space="preserve">Weronika </w:t>
      </w:r>
      <w:proofErr w:type="spellStart"/>
      <w:r w:rsidRPr="00E14010">
        <w:t>Grozdew</w:t>
      </w:r>
      <w:proofErr w:type="spellEnd"/>
      <w:r w:rsidRPr="00E14010">
        <w:t>-Kołacińska</w:t>
      </w:r>
      <w:r w:rsidR="0061638B" w:rsidRPr="00E14010">
        <w:t xml:space="preserve"> (IS PAN)</w:t>
      </w:r>
      <w:r w:rsidRPr="00E14010">
        <w:t>,</w:t>
      </w:r>
      <w:r w:rsidRPr="00662706">
        <w:t xml:space="preserve"> Swoje = obce / obce = swoje? Śpiew jako wędrowiec, czyli o transferze, granicach, doświadczaniu i tożsamości z polsko-bułgarskiej perspektywy</w:t>
      </w:r>
      <w:bookmarkEnd w:id="10"/>
    </w:p>
    <w:p w:rsidR="00662706" w:rsidRPr="00662706" w:rsidRDefault="007430A8" w:rsidP="00C417BF">
      <w:pPr>
        <w:jc w:val="both"/>
        <w:rPr>
          <w:noProof/>
          <w:lang w:bidi="pl-PL"/>
        </w:rPr>
      </w:pPr>
      <w:r>
        <w:rPr>
          <w:noProof/>
          <w:lang w:bidi="pl-PL"/>
        </w:rPr>
        <w:t>„</w:t>
      </w:r>
      <w:r w:rsidR="00662706" w:rsidRPr="00662706">
        <w:rPr>
          <w:noProof/>
          <w:lang w:bidi="pl-PL"/>
        </w:rPr>
        <w:t>Czyja jest ta pieśń?</w:t>
      </w:r>
      <w:r>
        <w:rPr>
          <w:noProof/>
          <w:lang w:bidi="pl-PL"/>
        </w:rPr>
        <w:t>”</w:t>
      </w:r>
      <w:r w:rsidR="00662706" w:rsidRPr="00662706">
        <w:rPr>
          <w:noProof/>
          <w:lang w:bidi="pl-PL"/>
        </w:rPr>
        <w:t xml:space="preserve"> – pyta, w tragikomicznym dokumencie pod tym samym tytułem, reżyserka Adela Peewa swoich rozmówców i siebie samą. Pieśń była </w:t>
      </w:r>
      <w:r>
        <w:rPr>
          <w:noProof/>
          <w:lang w:bidi="pl-PL"/>
        </w:rPr>
        <w:t>„</w:t>
      </w:r>
      <w:r w:rsidR="00662706" w:rsidRPr="00662706">
        <w:rPr>
          <w:noProof/>
          <w:lang w:bidi="pl-PL"/>
        </w:rPr>
        <w:t>tutaj</w:t>
      </w:r>
      <w:r>
        <w:rPr>
          <w:noProof/>
          <w:lang w:bidi="pl-PL"/>
        </w:rPr>
        <w:t>”</w:t>
      </w:r>
      <w:r w:rsidR="00662706" w:rsidRPr="00662706">
        <w:rPr>
          <w:noProof/>
          <w:lang w:bidi="pl-PL"/>
        </w:rPr>
        <w:t xml:space="preserve"> i jest </w:t>
      </w:r>
      <w:r>
        <w:rPr>
          <w:noProof/>
          <w:lang w:bidi="pl-PL"/>
        </w:rPr>
        <w:t>„</w:t>
      </w:r>
      <w:r w:rsidR="00662706" w:rsidRPr="00662706">
        <w:rPr>
          <w:noProof/>
          <w:lang w:bidi="pl-PL"/>
        </w:rPr>
        <w:t>nasza</w:t>
      </w:r>
      <w:r>
        <w:rPr>
          <w:noProof/>
          <w:lang w:bidi="pl-PL"/>
        </w:rPr>
        <w:t>”</w:t>
      </w:r>
      <w:r w:rsidR="00662706" w:rsidRPr="00662706">
        <w:rPr>
          <w:noProof/>
          <w:lang w:bidi="pl-PL"/>
        </w:rPr>
        <w:t xml:space="preserve"> od zawsze, ale te liczne </w:t>
      </w:r>
      <w:r>
        <w:rPr>
          <w:noProof/>
          <w:lang w:bidi="pl-PL"/>
        </w:rPr>
        <w:t>„</w:t>
      </w:r>
      <w:r w:rsidR="00662706" w:rsidRPr="00662706">
        <w:rPr>
          <w:noProof/>
          <w:lang w:bidi="pl-PL"/>
        </w:rPr>
        <w:t>tutaj</w:t>
      </w:r>
      <w:r>
        <w:rPr>
          <w:noProof/>
          <w:lang w:bidi="pl-PL"/>
        </w:rPr>
        <w:t>”</w:t>
      </w:r>
      <w:r w:rsidR="00662706" w:rsidRPr="00662706">
        <w:rPr>
          <w:noProof/>
          <w:lang w:bidi="pl-PL"/>
        </w:rPr>
        <w:t xml:space="preserve"> są na mapie geograficznej odległe od siebie o kilkaset kilometrów. </w:t>
      </w:r>
    </w:p>
    <w:p w:rsidR="00662706" w:rsidRDefault="00662706" w:rsidP="00C417BF">
      <w:pPr>
        <w:jc w:val="both"/>
        <w:rPr>
          <w:noProof/>
          <w:lang w:bidi="pl-PL"/>
        </w:rPr>
      </w:pPr>
      <w:r w:rsidRPr="00662706">
        <w:rPr>
          <w:noProof/>
          <w:lang w:bidi="pl-PL"/>
        </w:rPr>
        <w:t>Na mapie mentalnej – może są jeszcze odleglejsze od siebie, choć przecież bliskie, bo połączone nie tylko przez tę jedną melodię, ale cały kulturowy splot</w:t>
      </w:r>
      <w:r>
        <w:rPr>
          <w:noProof/>
          <w:lang w:bidi="pl-PL"/>
        </w:rPr>
        <w:t xml:space="preserve"> poszarpany jednak różnie definiowanymi granicami. Pieść wędruje przybierając coraz to nowe głosy, które śpiewają swoje historie – albo inne, albo takie same. </w:t>
      </w:r>
    </w:p>
    <w:p w:rsidR="005C6D45" w:rsidRDefault="00662706" w:rsidP="00C417BF">
      <w:pPr>
        <w:jc w:val="both"/>
        <w:rPr>
          <w:noProof/>
          <w:lang w:bidi="pl-PL"/>
        </w:rPr>
      </w:pPr>
      <w:r>
        <w:rPr>
          <w:noProof/>
          <w:lang w:bidi="pl-PL"/>
        </w:rPr>
        <w:t xml:space="preserve">Polskie kolędy mają w repertuarze bułgarscy katolicy z okolic Płowdiwu i Swisztowa z dziada pradziada, a mazurki i polki przyniesione przez polskich uchodźców po Wiośnie Ludów i Powstaniu Styczniowym do Szumenu stanowiły ważną część repertuaru pierwszej bułgarskiej orkiestry </w:t>
      </w:r>
      <w:r w:rsidR="007430A8">
        <w:rPr>
          <w:noProof/>
          <w:lang w:bidi="pl-PL"/>
        </w:rPr>
        <w:t>„</w:t>
      </w:r>
      <w:r>
        <w:rPr>
          <w:noProof/>
          <w:lang w:bidi="pl-PL"/>
        </w:rPr>
        <w:t>w duchu europejskim</w:t>
      </w:r>
      <w:r w:rsidR="007430A8">
        <w:rPr>
          <w:noProof/>
          <w:lang w:bidi="pl-PL"/>
        </w:rPr>
        <w:t>”</w:t>
      </w:r>
      <w:r>
        <w:rPr>
          <w:noProof/>
          <w:lang w:bidi="pl-PL"/>
        </w:rPr>
        <w:t xml:space="preserve">. Polacy mieli też swój udział w XIX-wiecznym szkolnictwie bułgarskim w zakresie muzyki i chóralistyki. </w:t>
      </w:r>
      <w:r w:rsidR="007430A8">
        <w:rPr>
          <w:noProof/>
          <w:lang w:bidi="pl-PL"/>
        </w:rPr>
        <w:t>„</w:t>
      </w:r>
      <w:r>
        <w:rPr>
          <w:noProof/>
          <w:lang w:bidi="pl-PL"/>
        </w:rPr>
        <w:t>Obce</w:t>
      </w:r>
      <w:r w:rsidR="007430A8">
        <w:rPr>
          <w:noProof/>
          <w:lang w:bidi="pl-PL"/>
        </w:rPr>
        <w:t>”</w:t>
      </w:r>
      <w:r>
        <w:rPr>
          <w:noProof/>
          <w:lang w:bidi="pl-PL"/>
        </w:rPr>
        <w:t xml:space="preserve"> dość szybko staje się </w:t>
      </w:r>
      <w:r w:rsidR="007430A8">
        <w:rPr>
          <w:noProof/>
          <w:lang w:bidi="pl-PL"/>
        </w:rPr>
        <w:t>„</w:t>
      </w:r>
      <w:r>
        <w:rPr>
          <w:noProof/>
          <w:lang w:bidi="pl-PL"/>
        </w:rPr>
        <w:t>swoje</w:t>
      </w:r>
      <w:r w:rsidR="007430A8">
        <w:rPr>
          <w:noProof/>
          <w:lang w:bidi="pl-PL"/>
        </w:rPr>
        <w:t>”</w:t>
      </w:r>
      <w:r>
        <w:rPr>
          <w:noProof/>
          <w:lang w:bidi="pl-PL"/>
        </w:rPr>
        <w:t>, ale jeszcze szybsza wydaje się być zbiorowa niepamięć tego procesu, a dociekanie źródła, o ile jest to w ogóle możliwe, może okazać się niewygodne. Współcześnie pieśń wędruje z jeszcze większym impetem, przynoszona zarówn</w:t>
      </w:r>
      <w:r w:rsidR="00C417BF">
        <w:rPr>
          <w:noProof/>
          <w:lang w:bidi="pl-PL"/>
        </w:rPr>
        <w:t>o przez żywy głos ludzki, jak i </w:t>
      </w:r>
      <w:r>
        <w:rPr>
          <w:noProof/>
          <w:lang w:bidi="pl-PL"/>
        </w:rPr>
        <w:t xml:space="preserve">przenoszona wirtualnym internetowym medium. Ta bałkańska darzona jest od dawna szczególną estymą zarówno przez polskich (i nie tylko) badaczy, jak i praktyków tradycyjnego i folkowego śpiewu.  </w:t>
      </w:r>
    </w:p>
    <w:p w:rsidR="00662706" w:rsidRDefault="00662706" w:rsidP="00662706">
      <w:pPr>
        <w:jc w:val="right"/>
        <w:rPr>
          <w:noProof/>
          <w:lang w:bidi="pl-PL"/>
        </w:rPr>
      </w:pPr>
      <w:r>
        <w:rPr>
          <w:noProof/>
          <w:lang w:bidi="pl-PL"/>
        </w:rPr>
        <w:t>(30 III 2021)</w:t>
      </w:r>
    </w:p>
    <w:p w:rsidR="00662706" w:rsidRDefault="00662706" w:rsidP="00662706">
      <w:pPr>
        <w:jc w:val="right"/>
        <w:rPr>
          <w:noProof/>
          <w:lang w:bidi="pl-PL"/>
        </w:rPr>
      </w:pPr>
    </w:p>
    <w:p w:rsidR="00662706" w:rsidRPr="00283C98" w:rsidRDefault="00662706" w:rsidP="001C5DE9">
      <w:pPr>
        <w:pStyle w:val="Styl1"/>
        <w:rPr>
          <w:bCs/>
        </w:rPr>
      </w:pPr>
      <w:bookmarkStart w:id="11" w:name="_Toc132624660"/>
      <w:r w:rsidRPr="00E14010">
        <w:rPr>
          <w:noProof/>
        </w:rPr>
        <w:t>Krystyna Berkan</w:t>
      </w:r>
      <w:r w:rsidR="0061638B" w:rsidRPr="00E14010">
        <w:rPr>
          <w:noProof/>
        </w:rPr>
        <w:t xml:space="preserve"> (IS PAN)</w:t>
      </w:r>
      <w:r w:rsidRPr="00E14010">
        <w:rPr>
          <w:noProof/>
        </w:rPr>
        <w:t>,</w:t>
      </w:r>
      <w:r>
        <w:rPr>
          <w:noProof/>
        </w:rPr>
        <w:t xml:space="preserve"> </w:t>
      </w:r>
      <w:r w:rsidRPr="00662706">
        <w:t>Irena Lorentowiczówna (1908–1985). Polska scenografka w Paryżu</w:t>
      </w:r>
      <w:bookmarkEnd w:id="11"/>
    </w:p>
    <w:p w:rsidR="00662706" w:rsidRPr="00662706" w:rsidRDefault="00662706" w:rsidP="00C417BF">
      <w:pPr>
        <w:jc w:val="both"/>
        <w:rPr>
          <w:bCs/>
          <w:noProof/>
        </w:rPr>
      </w:pPr>
      <w:r w:rsidRPr="00662706">
        <w:rPr>
          <w:bCs/>
          <w:noProof/>
        </w:rPr>
        <w:t xml:space="preserve">Scenografka i malarka Irena Lorentowiczówna łączona jest z kręgiem </w:t>
      </w:r>
      <w:r w:rsidR="007430A8">
        <w:rPr>
          <w:bCs/>
          <w:noProof/>
        </w:rPr>
        <w:t>„</w:t>
      </w:r>
      <w:r w:rsidRPr="00662706">
        <w:rPr>
          <w:bCs/>
          <w:noProof/>
        </w:rPr>
        <w:t>pruszkowiaków</w:t>
      </w:r>
      <w:r w:rsidR="007430A8">
        <w:rPr>
          <w:bCs/>
          <w:noProof/>
        </w:rPr>
        <w:t>”</w:t>
      </w:r>
      <w:r w:rsidRPr="00662706">
        <w:rPr>
          <w:bCs/>
          <w:noProof/>
        </w:rPr>
        <w:t xml:space="preserve"> – uczniów Tadeusza Pruszkowskiego i uczestników plenerów w Kazimierzu Dolnym. Należała także do pierwszych w Polsce zawodowych scenografów, absolwentów założonego w roku 1932 Państwowego Instytutu Sztuki Teatralnej.</w:t>
      </w:r>
    </w:p>
    <w:p w:rsidR="00662706" w:rsidRPr="00662706" w:rsidRDefault="00662706" w:rsidP="00C417BF">
      <w:pPr>
        <w:jc w:val="both"/>
        <w:rPr>
          <w:bCs/>
          <w:noProof/>
        </w:rPr>
      </w:pPr>
      <w:r w:rsidRPr="00662706">
        <w:rPr>
          <w:bCs/>
          <w:noProof/>
        </w:rPr>
        <w:t xml:space="preserve">Początek paryskiego etapu jej twórczości datuje się na rok 1935, gdy wygrała konkurs na projekt scenografii do Harnasiów Karola Szymanowskiego w Opéra de Paris (reżyseria: Leon Schiller, choreografia: Serge Lifar). W roku 1936 otrzymała stypendium rządu francuskiego i pozostała tam do roku 1940 gdy wraz z innymi przedstawicielami diaspory polskiej </w:t>
      </w:r>
      <w:r w:rsidR="00C417BF">
        <w:rPr>
          <w:bCs/>
          <w:noProof/>
        </w:rPr>
        <w:t>zmuszona była przez Hiszpanię i </w:t>
      </w:r>
      <w:r w:rsidRPr="00662706">
        <w:rPr>
          <w:bCs/>
          <w:noProof/>
        </w:rPr>
        <w:t xml:space="preserve">Portugalię udać się do Stanów Zjednoczonych. Podczas pobytu w Paryżu Lorentowiczówna zaprojektowała, oprócz </w:t>
      </w:r>
      <w:r w:rsidRPr="00662706">
        <w:rPr>
          <w:bCs/>
          <w:i/>
          <w:noProof/>
        </w:rPr>
        <w:t>Harnasiów</w:t>
      </w:r>
      <w:r w:rsidRPr="00662706">
        <w:rPr>
          <w:bCs/>
          <w:noProof/>
        </w:rPr>
        <w:t>, scenografię dla Polskiego Baletu Reprezentacyjnego</w:t>
      </w:r>
      <w:r>
        <w:rPr>
          <w:bCs/>
          <w:noProof/>
        </w:rPr>
        <w:t xml:space="preserve"> </w:t>
      </w:r>
      <w:r w:rsidRPr="00662706">
        <w:rPr>
          <w:bCs/>
          <w:noProof/>
        </w:rPr>
        <w:t>(</w:t>
      </w:r>
      <w:r w:rsidRPr="00662706">
        <w:rPr>
          <w:bCs/>
          <w:i/>
          <w:noProof/>
        </w:rPr>
        <w:t>Powrót</w:t>
      </w:r>
      <w:r w:rsidRPr="00662706">
        <w:rPr>
          <w:bCs/>
          <w:noProof/>
        </w:rPr>
        <w:t>/</w:t>
      </w:r>
      <w:r w:rsidRPr="00662706">
        <w:rPr>
          <w:bCs/>
          <w:i/>
          <w:noProof/>
        </w:rPr>
        <w:t>Wezwanie do muzyki</w:t>
      </w:r>
      <w:r w:rsidRPr="00662706">
        <w:rPr>
          <w:bCs/>
          <w:noProof/>
        </w:rPr>
        <w:t xml:space="preserve"> Bolesława Woytowicza, choreografia: Bronisława Niżyńska, 1937 r.) oraz </w:t>
      </w:r>
      <w:r w:rsidRPr="00662706">
        <w:rPr>
          <w:bCs/>
          <w:i/>
          <w:noProof/>
        </w:rPr>
        <w:t>do Uciekła mi przepióreczka</w:t>
      </w:r>
      <w:r w:rsidRPr="00662706">
        <w:rPr>
          <w:bCs/>
          <w:noProof/>
        </w:rPr>
        <w:t xml:space="preserve"> Stefana Żeromskiego w 1940 w wykonaniu emigracyjnego Teatru Polskiego. Słabiej rozpoznanym tematem jest jej współpraca z reżyserami francuskimi, między innymi z Louisem Jouvetem.</w:t>
      </w:r>
    </w:p>
    <w:p w:rsidR="00662706" w:rsidRPr="00662706" w:rsidRDefault="00662706" w:rsidP="00C417BF">
      <w:pPr>
        <w:jc w:val="both"/>
        <w:rPr>
          <w:bCs/>
          <w:noProof/>
        </w:rPr>
      </w:pPr>
      <w:r w:rsidRPr="00662706">
        <w:rPr>
          <w:bCs/>
          <w:noProof/>
        </w:rPr>
        <w:t xml:space="preserve">Wykład poświęcony będzie twórczości Ireny Lorentowiczówny z lat 1935–1940 oraz próbie scharakteryzowania środowiska polskich artystów w ówczesnym Paryżu, którego obraz zawarła we wspomnieniach </w:t>
      </w:r>
      <w:r w:rsidRPr="00662706">
        <w:rPr>
          <w:bCs/>
          <w:i/>
          <w:noProof/>
        </w:rPr>
        <w:t>Oczarowania</w:t>
      </w:r>
      <w:r w:rsidRPr="00662706">
        <w:rPr>
          <w:bCs/>
          <w:noProof/>
        </w:rPr>
        <w:t>.</w:t>
      </w:r>
    </w:p>
    <w:p w:rsidR="005C6D45" w:rsidRDefault="00662706" w:rsidP="00662706">
      <w:pPr>
        <w:jc w:val="right"/>
        <w:rPr>
          <w:noProof/>
        </w:rPr>
      </w:pPr>
      <w:r>
        <w:rPr>
          <w:noProof/>
        </w:rPr>
        <w:lastRenderedPageBreak/>
        <w:t>(11 V 2021)</w:t>
      </w:r>
    </w:p>
    <w:p w:rsidR="00662706" w:rsidRDefault="00662706" w:rsidP="001C5DE9">
      <w:pPr>
        <w:pStyle w:val="Styl1"/>
        <w:rPr>
          <w:rFonts w:eastAsiaTheme="majorEastAsia" w:cstheme="majorBidi"/>
          <w:bCs/>
          <w:sz w:val="32"/>
          <w:szCs w:val="26"/>
        </w:rPr>
      </w:pPr>
      <w:bookmarkStart w:id="12" w:name="_Toc132624661"/>
      <w:r w:rsidRPr="00E14010">
        <w:t>Anna Oleńska</w:t>
      </w:r>
      <w:r w:rsidR="0061638B" w:rsidRPr="00E14010">
        <w:t xml:space="preserve"> (IS PAN)</w:t>
      </w:r>
      <w:r w:rsidRPr="00E14010">
        <w:t xml:space="preserve">, Dorota </w:t>
      </w:r>
      <w:proofErr w:type="spellStart"/>
      <w:r w:rsidRPr="00E14010">
        <w:t>Piramidowicz</w:t>
      </w:r>
      <w:proofErr w:type="spellEnd"/>
      <w:r w:rsidR="0061638B" w:rsidRPr="00E14010">
        <w:t xml:space="preserve"> (IS PAN)</w:t>
      </w:r>
      <w:r w:rsidRPr="00E14010">
        <w:t>,</w:t>
      </w:r>
      <w:r>
        <w:t xml:space="preserve"> </w:t>
      </w:r>
      <w:r w:rsidR="007430A8" w:rsidRPr="007430A8">
        <w:t>„</w:t>
      </w:r>
      <w:r w:rsidRPr="007430A8">
        <w:t>Jesteśmy tylko</w:t>
      </w:r>
      <w:r w:rsidRPr="006F683C">
        <w:t xml:space="preserve"> </w:t>
      </w:r>
      <w:r w:rsidRPr="007430A8">
        <w:t>chwilą w trwaniu przedmiotów</w:t>
      </w:r>
      <w:r w:rsidR="007430A8" w:rsidRPr="007430A8">
        <w:t>”</w:t>
      </w:r>
      <w:r w:rsidRPr="007430A8">
        <w:t xml:space="preserve"> – migracje, postrzeganie i zmiana znaczeń obiektów zabytkowych</w:t>
      </w:r>
      <w:bookmarkEnd w:id="12"/>
      <w:r w:rsidRPr="00A2136F">
        <w:rPr>
          <w:rFonts w:eastAsiaTheme="majorEastAsia" w:cstheme="majorBidi"/>
          <w:bCs/>
          <w:sz w:val="32"/>
          <w:szCs w:val="26"/>
        </w:rPr>
        <w:t xml:space="preserve"> </w:t>
      </w:r>
    </w:p>
    <w:p w:rsidR="00662706" w:rsidRPr="00662706" w:rsidRDefault="00662706" w:rsidP="00C417BF">
      <w:pPr>
        <w:jc w:val="both"/>
        <w:rPr>
          <w:bCs/>
          <w:lang w:val="it-IT"/>
        </w:rPr>
      </w:pPr>
      <w:r w:rsidRPr="00662706">
        <w:rPr>
          <w:bCs/>
          <w:lang w:val="it-IT"/>
        </w:rPr>
        <w:t xml:space="preserve">Dla historyka sztuki zajmującego się badaniem zabytkowego dziedzictwa, niezwykle ważny jest kontakt z rzeczą, która traktowana jest nie tylko jako forma materialna, ale przede wszystkim jako wiele mówiący nośnik znaczeń i małe </w:t>
      </w:r>
      <w:r w:rsidR="007430A8">
        <w:rPr>
          <w:bCs/>
          <w:lang w:val="it-IT"/>
        </w:rPr>
        <w:t>„</w:t>
      </w:r>
      <w:r w:rsidRPr="00662706">
        <w:rPr>
          <w:bCs/>
          <w:lang w:val="it-IT"/>
        </w:rPr>
        <w:t>miejsce pamięci</w:t>
      </w:r>
      <w:r w:rsidR="007430A8">
        <w:rPr>
          <w:bCs/>
          <w:lang w:val="it-IT"/>
        </w:rPr>
        <w:t>”</w:t>
      </w:r>
      <w:r w:rsidRPr="00662706">
        <w:rPr>
          <w:bCs/>
          <w:lang w:val="it-IT"/>
        </w:rPr>
        <w:t xml:space="preserve">. Rzecz ta tylko pozornie jest niema, jej forma, materia i/lub kontekst miejsca mogą mówić wiele i doprowadzić uważnego odbiorcę – nierzadko drogą wręcz detektywistycznych skojarzeń – do interesujących ustaleń. </w:t>
      </w:r>
    </w:p>
    <w:p w:rsidR="00662706" w:rsidRPr="00662706" w:rsidRDefault="00662706" w:rsidP="00C417BF">
      <w:pPr>
        <w:jc w:val="both"/>
        <w:rPr>
          <w:bCs/>
          <w:lang w:val="it-IT"/>
        </w:rPr>
      </w:pPr>
      <w:r w:rsidRPr="00662706">
        <w:rPr>
          <w:bCs/>
          <w:lang w:val="it-IT"/>
        </w:rPr>
        <w:t xml:space="preserve">Temat wystąpienia wyrósł z naszego wieloletniego doświadczenia z przedmiotami – obiektami zabytkowymi, określanymi mianem sztuki sakralnej, czyli różnorodnymi elementami wystroju kościelnego, od najbardziej okazałych, po te na pierwszy rzut oka niezauważalne. Chciałybyśmy opowiedzieć między innymi o obrazach, rzeźbach, paramentach i szatach liturgicznych, z którymi spotkałyśmy się i które badałyśmy podczas opracowywania kolejnych tomów serii </w:t>
      </w:r>
      <w:r w:rsidR="007430A8">
        <w:rPr>
          <w:bCs/>
          <w:lang w:val="it-IT"/>
        </w:rPr>
        <w:t>„</w:t>
      </w:r>
      <w:r w:rsidRPr="00662706">
        <w:rPr>
          <w:bCs/>
          <w:lang w:val="it-IT"/>
        </w:rPr>
        <w:t>Katalog Zabytków Sztuki w Polsce</w:t>
      </w:r>
      <w:r w:rsidR="007430A8">
        <w:rPr>
          <w:bCs/>
          <w:lang w:val="it-IT"/>
        </w:rPr>
        <w:t>”</w:t>
      </w:r>
      <w:r w:rsidRPr="00662706">
        <w:rPr>
          <w:bCs/>
          <w:lang w:val="it-IT"/>
        </w:rPr>
        <w:t xml:space="preserve"> oraz </w:t>
      </w:r>
      <w:r w:rsidR="007430A8">
        <w:rPr>
          <w:bCs/>
          <w:lang w:val="it-IT"/>
        </w:rPr>
        <w:t>„</w:t>
      </w:r>
      <w:r w:rsidRPr="00662706">
        <w:rPr>
          <w:bCs/>
          <w:lang w:val="it-IT"/>
        </w:rPr>
        <w:t>Materiały do dziejów sztuki  sakralnej na dawnych ziemiach wschodnich Rzeczypospolitej</w:t>
      </w:r>
      <w:r w:rsidR="007430A8">
        <w:rPr>
          <w:bCs/>
          <w:lang w:val="it-IT"/>
        </w:rPr>
        <w:t>”</w:t>
      </w:r>
      <w:r w:rsidRPr="00662706">
        <w:rPr>
          <w:bCs/>
          <w:lang w:val="it-IT"/>
        </w:rPr>
        <w:t>. Wiele z tych obiektów zrośniętych jest ze swym pierwotnym miejscem, współtworząc jego historię i obraz społeczności, z którymi były związane. Inne zostały pozbawione kontekstu i korzeni, odbywając różnego rodzaju migracje – te, w najprostszym i bezpośrednim rozumieniu, geograficzne, ale i te znaczeniowe czy tożsamościowe. W ich wyniku  obiekty otoczone kultem stawały się bezimienne, ale i odwrotnie – w nowych warunkach zyskiwały znamię wręcz relikwii. Owym migracjom sprzyjały dramatyczne nierzadko dzieje świątyń na tzw. kresach dawnej Rzeczypospolitej, które przyczyniały się do tworzenia nie tylko indywidualnych historii poszczególnych przedmiotów, ale też do powstawania ich repozytoriów, sztucznych lub wtórnych. Częstokroć odkrywanie i rekonstruowanie ich losów i drogi przynosi niezwykłą satysfakcję badawczą, przywracając je pamięci. W wystąpieniu poruszymy także problem niebezpieczeństwa tworzenia (pozornych) syntez oraz wagi  przekazów źródłowych – wizualnych i pisanych, ale też i ustnych.</w:t>
      </w:r>
    </w:p>
    <w:p w:rsidR="00662706" w:rsidRDefault="00662706" w:rsidP="00662706">
      <w:pPr>
        <w:jc w:val="right"/>
      </w:pPr>
      <w:r>
        <w:t>(8 VI 2021)</w:t>
      </w:r>
    </w:p>
    <w:p w:rsidR="005B7585" w:rsidRPr="00CD430C" w:rsidRDefault="005B7585" w:rsidP="001C5DE9">
      <w:pPr>
        <w:pStyle w:val="Styl1"/>
        <w:rPr>
          <w:rStyle w:val="fontstyle01"/>
          <w:rFonts w:ascii="Segoe UI Light" w:hAnsi="Segoe UI Light"/>
          <w:b w:val="0"/>
          <w:bCs w:val="0"/>
          <w:color w:val="3B3838"/>
          <w:sz w:val="28"/>
          <w:szCs w:val="52"/>
        </w:rPr>
      </w:pPr>
      <w:bookmarkStart w:id="13" w:name="_Toc132624662"/>
      <w:r w:rsidRPr="00E14010">
        <w:t>Anna Straszewska</w:t>
      </w:r>
      <w:r w:rsidR="0061638B" w:rsidRPr="00E14010">
        <w:t xml:space="preserve"> (IS PAN)</w:t>
      </w:r>
      <w:r w:rsidRPr="00E14010">
        <w:t>,</w:t>
      </w:r>
      <w:r w:rsidRPr="00CD430C">
        <w:t xml:space="preserve"> </w:t>
      </w:r>
      <w:r w:rsidRPr="00CD430C">
        <w:rPr>
          <w:rStyle w:val="fontstyle01"/>
          <w:rFonts w:ascii="Segoe UI Light" w:hAnsi="Segoe UI Light"/>
          <w:b w:val="0"/>
          <w:bCs w:val="0"/>
          <w:color w:val="3B3838"/>
          <w:sz w:val="28"/>
          <w:szCs w:val="52"/>
        </w:rPr>
        <w:t>Drohobycz–Wiedeń–Nowy Jork. Żydowscy absolwenci wiedeńskiej Akademii i ich udział w rozprzestrzenianiu wzorów sztuki środkowoeuropejskiej</w:t>
      </w:r>
      <w:bookmarkEnd w:id="13"/>
    </w:p>
    <w:p w:rsidR="00662706" w:rsidRPr="00C65FB2" w:rsidRDefault="00662706" w:rsidP="00662706"/>
    <w:p w:rsidR="005B7585" w:rsidRPr="005B7585" w:rsidRDefault="005B7585" w:rsidP="00C417BF">
      <w:pPr>
        <w:jc w:val="both"/>
        <w:rPr>
          <w:noProof/>
          <w:lang w:val="it-IT"/>
        </w:rPr>
      </w:pPr>
      <w:r w:rsidRPr="005B7585">
        <w:rPr>
          <w:noProof/>
          <w:lang w:val="it-IT"/>
        </w:rPr>
        <w:t>Wydany w 1782 roku przez cesarza Józefa II edykt tolerancyjny umożliwiał Żydom dostęp do</w:t>
      </w:r>
      <w:r w:rsidRPr="005B7585">
        <w:rPr>
          <w:bCs/>
          <w:noProof/>
          <w:lang w:val="it-IT"/>
        </w:rPr>
        <w:t xml:space="preserve"> </w:t>
      </w:r>
      <w:r w:rsidRPr="005B7585">
        <w:rPr>
          <w:noProof/>
          <w:lang w:val="it-IT"/>
        </w:rPr>
        <w:t>świeckiej edukacji w państwie Habsburgów.</w:t>
      </w:r>
    </w:p>
    <w:p w:rsidR="00662706" w:rsidRDefault="005B7585" w:rsidP="00C417BF">
      <w:pPr>
        <w:jc w:val="both"/>
        <w:rPr>
          <w:noProof/>
        </w:rPr>
      </w:pPr>
      <w:r w:rsidRPr="005B7585">
        <w:rPr>
          <w:noProof/>
          <w:lang w:val="it-IT"/>
        </w:rPr>
        <w:t>Dzięki temu na początku XIX wieku na studia artystyczne do stolicy monarchii zaczęli przybywać też Żydzi z Galicji, którzy początkowo wybierali przede wszystkim kierunki rzemieślnicze, jednak w miarę postępującej akulturacji gotowi byli na przełamywanie obowiązującego w judaizmie tabu zakazującego przedstawiania postaci ludzi i zwierząt, co umożliwiło im naukę malarstwa i rzeźby. Mimo iż wielu z nich czuło się Polakami wyznania mojżeszowego, powrót w rodzinne strony był dla nich z reguły niemożliwy – jedynie przejście na katolicyzm dawało możliwość całkowitej asymilacji i przebicia szklanego sufitu, ograniczającego dostęp do pracy i pełnego udziału w życiu</w:t>
      </w:r>
      <w:r w:rsidRPr="005B7585">
        <w:rPr>
          <w:b/>
          <w:bCs/>
          <w:noProof/>
          <w:lang w:val="it-IT"/>
        </w:rPr>
        <w:t xml:space="preserve"> </w:t>
      </w:r>
      <w:r w:rsidRPr="005B7585">
        <w:rPr>
          <w:noProof/>
          <w:lang w:val="it-IT"/>
        </w:rPr>
        <w:t>artystycznym kraju. Żydowscy absolwenci Akademii wiedeńskiej, jak Maurycy Gottlieb uczestniczyli w Wiedniu (a także Niemczech) w tworzeniu nowoczesnej sztuki żydowskiej, ale też tak jak Lazar Krestin pokazywali na swoich obrazach egzotyczne życie sztetli na rubieżach Rzeczpospolitej, a po I wojnie światowej angażo</w:t>
      </w:r>
      <w:r w:rsidR="00C417BF">
        <w:rPr>
          <w:noProof/>
          <w:lang w:val="it-IT"/>
        </w:rPr>
        <w:t xml:space="preserve">wali się w ruch syjonistyczny </w:t>
      </w:r>
      <w:r w:rsidR="00C417BF">
        <w:rPr>
          <w:noProof/>
          <w:lang w:val="it-IT"/>
        </w:rPr>
        <w:lastRenderedPageBreak/>
        <w:t>i </w:t>
      </w:r>
      <w:r w:rsidRPr="005B7585">
        <w:rPr>
          <w:noProof/>
          <w:lang w:val="it-IT"/>
        </w:rPr>
        <w:t>brali udział w tworzeniu podwalin szkolnictwa artystycznego w Palestynie. W 1938 roku Anschluss definitywnie zakończył udział twórców żydowskich w życiu artystycznym Wiednia, w przeciągu kilku miesięcy zostali pozbawieni wszelkich praw i aby ratować życie zmuszeni byli uciekać w najdalsze krańce</w:t>
      </w:r>
      <w:r w:rsidRPr="005B7585">
        <w:rPr>
          <w:b/>
          <w:bCs/>
          <w:noProof/>
          <w:lang w:val="it-IT"/>
        </w:rPr>
        <w:t xml:space="preserve"> </w:t>
      </w:r>
      <w:r w:rsidRPr="005B7585">
        <w:rPr>
          <w:noProof/>
          <w:lang w:val="it-IT"/>
        </w:rPr>
        <w:t>świata, gdzie przeszczepiali wzorce sztuki środkowoeuropejskiej.</w:t>
      </w:r>
      <w:r>
        <w:rPr>
          <w:noProof/>
        </w:rPr>
        <w:t xml:space="preserve"> </w:t>
      </w:r>
    </w:p>
    <w:p w:rsidR="005B7585" w:rsidRDefault="005B7585" w:rsidP="005B7585">
      <w:pPr>
        <w:jc w:val="right"/>
        <w:rPr>
          <w:noProof/>
        </w:rPr>
      </w:pPr>
      <w:r>
        <w:rPr>
          <w:noProof/>
        </w:rPr>
        <w:t>(26 X 2021)</w:t>
      </w:r>
    </w:p>
    <w:p w:rsidR="005B7585" w:rsidRDefault="005B7585" w:rsidP="005B7585">
      <w:pPr>
        <w:jc w:val="right"/>
        <w:rPr>
          <w:noProof/>
        </w:rPr>
      </w:pPr>
    </w:p>
    <w:p w:rsidR="005B7585" w:rsidRPr="00CD430C" w:rsidRDefault="005B7585" w:rsidP="001C5DE9">
      <w:pPr>
        <w:pStyle w:val="Styl1"/>
      </w:pPr>
      <w:bookmarkStart w:id="14" w:name="_Toc132624663"/>
      <w:r w:rsidRPr="00E14010">
        <w:t xml:space="preserve">Arleta </w:t>
      </w:r>
      <w:proofErr w:type="spellStart"/>
      <w:r w:rsidRPr="00E14010">
        <w:t>Nawrocka-Wysocka</w:t>
      </w:r>
      <w:proofErr w:type="spellEnd"/>
      <w:r w:rsidR="0061638B" w:rsidRPr="00E14010">
        <w:t xml:space="preserve"> (IS PAN)</w:t>
      </w:r>
      <w:r w:rsidRPr="00E14010">
        <w:t>,</w:t>
      </w:r>
      <w:r w:rsidRPr="00CD430C">
        <w:t xml:space="preserve"> Muzyka i migracje jako przedmiot badań etnomuzykologii w XX i XXI wieku</w:t>
      </w:r>
      <w:bookmarkEnd w:id="14"/>
      <w:r w:rsidRPr="00CD430C">
        <w:t xml:space="preserve"> </w:t>
      </w:r>
    </w:p>
    <w:p w:rsidR="005B7585" w:rsidRPr="00C417BF" w:rsidRDefault="005B7585" w:rsidP="00C417BF">
      <w:pPr>
        <w:jc w:val="both"/>
        <w:rPr>
          <w:rFonts w:cs="Calibri Light"/>
          <w:lang w:val="it-IT"/>
        </w:rPr>
      </w:pPr>
      <w:r w:rsidRPr="00C417BF">
        <w:rPr>
          <w:rStyle w:val="Wyrnienieofertyznak"/>
          <w:rFonts w:ascii="Calibri Light" w:hAnsi="Calibri Light" w:cs="Calibri Light"/>
        </w:rPr>
        <w:t xml:space="preserve">Moim jedynym bagażem była walizka i kochana </w:t>
      </w:r>
      <w:proofErr w:type="spellStart"/>
      <w:r w:rsidRPr="00C417BF">
        <w:rPr>
          <w:rStyle w:val="Wyrnienieofertyznak"/>
          <w:rFonts w:ascii="Calibri Light" w:hAnsi="Calibri Light" w:cs="Calibri Light"/>
        </w:rPr>
        <w:t>lyra</w:t>
      </w:r>
      <w:proofErr w:type="spellEnd"/>
      <w:r w:rsidRPr="00C417BF">
        <w:rPr>
          <w:rStyle w:val="Wyrnienieofertyznak"/>
          <w:rFonts w:ascii="Calibri Light" w:hAnsi="Calibri Light" w:cs="Calibri Light"/>
        </w:rPr>
        <w:t xml:space="preserve">. W futerale instrumentu było wystarczająco dużo miejsca, aby umieścić niezbędny ekwipunek i części zamienne mojej </w:t>
      </w:r>
      <w:proofErr w:type="spellStart"/>
      <w:r w:rsidRPr="00C417BF">
        <w:rPr>
          <w:rStyle w:val="Wyrnienieofertyznak"/>
          <w:rFonts w:ascii="Calibri Light" w:hAnsi="Calibri Light" w:cs="Calibri Light"/>
        </w:rPr>
        <w:t>lyry</w:t>
      </w:r>
      <w:proofErr w:type="spellEnd"/>
      <w:r w:rsidRPr="00C417BF">
        <w:rPr>
          <w:rStyle w:val="Wyrnienieofertyznak"/>
          <w:rFonts w:ascii="Calibri Light" w:hAnsi="Calibri Light" w:cs="Calibri Light"/>
        </w:rPr>
        <w:t>: struny, dwa smyczki, żywicę, obcinacz do paznokci, szmatkę i gruby zeszyt. Mój notatnik był w całości zapisany i zawierał zbiór najlepszych greckich pieśni, starannie opracowanych, w większości tradycyjnych z Pontu…</w:t>
      </w:r>
      <w:r w:rsidRPr="00C417BF">
        <w:rPr>
          <w:rFonts w:cs="Calibri Light"/>
          <w:lang w:val="it-IT"/>
        </w:rPr>
        <w:t xml:space="preserve"> (Aristoteles Konstadinidis – grecki emigrant z Pontu)</w:t>
      </w:r>
    </w:p>
    <w:p w:rsidR="005B7585" w:rsidRPr="005B7585" w:rsidRDefault="005B7585" w:rsidP="00C417BF">
      <w:pPr>
        <w:jc w:val="both"/>
        <w:rPr>
          <w:lang w:val="it-IT"/>
        </w:rPr>
      </w:pPr>
      <w:r w:rsidRPr="005B7585">
        <w:rPr>
          <w:lang w:val="it-IT"/>
        </w:rPr>
        <w:t>Mobilność i nieograniczone kontakty kulturowe to chyba największe wyzwania dla współczesnej etnomuzykologii. Dyscyplina pierwotnie skoncentrowana na badaniu jednej kultury musi na nowo sformułować znaczenia takich pojęć jak tożsamość kulturowa, nacjonalizm, transnacjonalizm czy diaspora.</w:t>
      </w:r>
    </w:p>
    <w:p w:rsidR="005B7585" w:rsidRDefault="005B7585" w:rsidP="00C417BF">
      <w:pPr>
        <w:jc w:val="both"/>
        <w:rPr>
          <w:lang w:val="it-IT"/>
        </w:rPr>
      </w:pPr>
      <w:r w:rsidRPr="005B7585">
        <w:rPr>
          <w:lang w:val="it-IT"/>
        </w:rPr>
        <w:t xml:space="preserve">Wraz z przemieszczającymi się ludźmi przenoszony jest – wraz z bagażem – konkretny kapitał kulturowy, który według badaczy stanowi fundament budowania nowej tożsamości w miejscu osiedlenia. Współczesna nauka kwestionuje więc także dotychczas używane określenia nadające muzyce charakter </w:t>
      </w:r>
      <w:r w:rsidR="007430A8">
        <w:rPr>
          <w:lang w:val="it-IT"/>
        </w:rPr>
        <w:t>„</w:t>
      </w:r>
      <w:r w:rsidRPr="005B7585">
        <w:rPr>
          <w:lang w:val="it-IT"/>
        </w:rPr>
        <w:t>autentyczny</w:t>
      </w:r>
      <w:r w:rsidR="007430A8">
        <w:rPr>
          <w:lang w:val="it-IT"/>
        </w:rPr>
        <w:t>”</w:t>
      </w:r>
      <w:r w:rsidRPr="005B7585">
        <w:rPr>
          <w:lang w:val="it-IT"/>
        </w:rPr>
        <w:t xml:space="preserve">, </w:t>
      </w:r>
      <w:r w:rsidR="007430A8">
        <w:rPr>
          <w:lang w:val="it-IT"/>
        </w:rPr>
        <w:t>„</w:t>
      </w:r>
      <w:r w:rsidRPr="005B7585">
        <w:rPr>
          <w:lang w:val="it-IT"/>
        </w:rPr>
        <w:t>czysty</w:t>
      </w:r>
      <w:r w:rsidR="007430A8">
        <w:rPr>
          <w:lang w:val="it-IT"/>
        </w:rPr>
        <w:t>”</w:t>
      </w:r>
      <w:r w:rsidRPr="005B7585">
        <w:rPr>
          <w:lang w:val="it-IT"/>
        </w:rPr>
        <w:t xml:space="preserve">, czy </w:t>
      </w:r>
      <w:r w:rsidR="007430A8">
        <w:rPr>
          <w:lang w:val="it-IT"/>
        </w:rPr>
        <w:t>„</w:t>
      </w:r>
      <w:r w:rsidRPr="005B7585">
        <w:rPr>
          <w:lang w:val="it-IT"/>
        </w:rPr>
        <w:t>tradycyjny</w:t>
      </w:r>
      <w:r w:rsidR="007430A8">
        <w:rPr>
          <w:lang w:val="it-IT"/>
        </w:rPr>
        <w:t>”</w:t>
      </w:r>
      <w:r w:rsidRPr="005B7585">
        <w:rPr>
          <w:lang w:val="it-IT"/>
        </w:rPr>
        <w:t xml:space="preserve">. Od 2000 roku regularnie odbywają się konferencje, na których międzynarodowe grono badaczy debatuje o muzyce i migracji. Uczestnicy debat wskazują na kryzys istniejący w języku teoretycznym dyscypliny, twierdząc, że </w:t>
      </w:r>
      <w:r w:rsidR="007430A8">
        <w:rPr>
          <w:lang w:val="it-IT"/>
        </w:rPr>
        <w:t>„</w:t>
      </w:r>
      <w:r w:rsidRPr="005B7585">
        <w:rPr>
          <w:lang w:val="it-IT"/>
        </w:rPr>
        <w:t>etnomuzykologia narodów</w:t>
      </w:r>
      <w:r w:rsidR="007430A8">
        <w:rPr>
          <w:lang w:val="it-IT"/>
        </w:rPr>
        <w:t>”</w:t>
      </w:r>
      <w:r w:rsidRPr="005B7585">
        <w:rPr>
          <w:lang w:val="it-IT"/>
        </w:rPr>
        <w:t xml:space="preserve"> musi ustąpić miejsca </w:t>
      </w:r>
      <w:r w:rsidR="007430A8">
        <w:rPr>
          <w:lang w:val="it-IT"/>
        </w:rPr>
        <w:t>„</w:t>
      </w:r>
      <w:r w:rsidRPr="005B7585">
        <w:rPr>
          <w:lang w:val="it-IT"/>
        </w:rPr>
        <w:t>etnomuzykologii migracji</w:t>
      </w:r>
      <w:r w:rsidR="007430A8">
        <w:rPr>
          <w:lang w:val="it-IT"/>
        </w:rPr>
        <w:t>”</w:t>
      </w:r>
      <w:r w:rsidRPr="005B7585">
        <w:rPr>
          <w:lang w:val="it-IT"/>
        </w:rPr>
        <w:t>.</w:t>
      </w:r>
    </w:p>
    <w:p w:rsidR="005B7585" w:rsidRPr="005B7585" w:rsidRDefault="005B7585" w:rsidP="005B7585">
      <w:pPr>
        <w:jc w:val="right"/>
        <w:rPr>
          <w:lang w:val="it-IT"/>
        </w:rPr>
      </w:pPr>
      <w:r>
        <w:rPr>
          <w:lang w:val="it-IT"/>
        </w:rPr>
        <w:t>(30 XI 2021)</w:t>
      </w:r>
    </w:p>
    <w:p w:rsidR="005B7585" w:rsidRDefault="005B7585" w:rsidP="005B7585"/>
    <w:p w:rsidR="005B7585" w:rsidRPr="007430A8" w:rsidRDefault="005B7585" w:rsidP="001C5DE9">
      <w:pPr>
        <w:pStyle w:val="Styl1"/>
        <w:rPr>
          <w:lang w:val="it-IT"/>
        </w:rPr>
      </w:pPr>
      <w:bookmarkStart w:id="15" w:name="_Toc132624664"/>
      <w:r w:rsidRPr="00E14010">
        <w:t xml:space="preserve">Michał </w:t>
      </w:r>
      <w:proofErr w:type="spellStart"/>
      <w:r w:rsidRPr="00E14010">
        <w:t>Jaczyński</w:t>
      </w:r>
      <w:proofErr w:type="spellEnd"/>
      <w:r w:rsidRPr="00E14010">
        <w:t xml:space="preserve"> (UJ),</w:t>
      </w:r>
      <w:r>
        <w:t xml:space="preserve"> </w:t>
      </w:r>
      <w:r w:rsidRPr="007430A8">
        <w:rPr>
          <w:lang w:val="it-IT"/>
        </w:rPr>
        <w:t>Muzyka żydowska w powszechnym życiu muzycznym Europy Środkowej w dwudziestoleciu międzywojennym</w:t>
      </w:r>
      <w:bookmarkEnd w:id="15"/>
    </w:p>
    <w:p w:rsidR="005B7585" w:rsidRPr="005B7585" w:rsidRDefault="005B7585" w:rsidP="004406BA">
      <w:pPr>
        <w:jc w:val="both"/>
      </w:pPr>
      <w:r w:rsidRPr="005B7585">
        <w:t xml:space="preserve">Celem prowadzonych przez Michała </w:t>
      </w:r>
      <w:proofErr w:type="spellStart"/>
      <w:r w:rsidRPr="005B7585">
        <w:t>Jaczyńskiego</w:t>
      </w:r>
      <w:proofErr w:type="spellEnd"/>
      <w:r w:rsidRPr="005B7585">
        <w:t xml:space="preserve"> badań jest prześledzenie form obecności muzyki żydowskiej – artystycznej i popularnej – w powszechnej kulturze muzycznej dwudziestolecia międzywojennego, w czterech ośrodkach wielkomiejskich: Wiedniu, Pradze, Warszawie i Lwowie.</w:t>
      </w:r>
    </w:p>
    <w:p w:rsidR="005B7585" w:rsidRPr="005B7585" w:rsidRDefault="005B7585" w:rsidP="004406BA">
      <w:pPr>
        <w:jc w:val="both"/>
      </w:pPr>
      <w:r w:rsidRPr="005B7585">
        <w:t xml:space="preserve">Osadzenie badań w dwudziestoleciu międzywojennym wyznacza perspektywę spoglądania na muzykę żydowską jako element już funkcjonujący w powszechnej kulturze muzycznej, lecz stanowiący przedmiot sporów i dyskusji nie mniej gorących niż te, które miały miejsce w XIX wieku, a więc w okresie, kiedy rozpoczął się transfer mniejszościowej kultury żydowskiej do sfery publicznej. W omawianym okresie o formach obecności muzyki żydowskiej na oficjalnym rynku muzycznym decyduje nadal napięcie między tym, co przyswojone i tym, co </w:t>
      </w:r>
      <w:r w:rsidR="007430A8">
        <w:t>„</w:t>
      </w:r>
      <w:r w:rsidRPr="005B7585">
        <w:t>obce</w:t>
      </w:r>
      <w:r w:rsidR="007430A8">
        <w:t>”</w:t>
      </w:r>
      <w:r w:rsidRPr="005B7585">
        <w:t>. Jest ono widoczne zarówno na poziomie dyskusji estetycznych (także tych toczonych wewnątrz środowiska żydowskiego), jak i – szczególnie intensywnych – sporów społecznych i politycznych, które w latach 30. będą decydować o wycofywaniu się twórców muzyki żydowskiej do sfery mniejszościowej.</w:t>
      </w:r>
    </w:p>
    <w:p w:rsidR="005B7585" w:rsidRDefault="005B7585" w:rsidP="005B7585">
      <w:pPr>
        <w:jc w:val="right"/>
      </w:pPr>
      <w:r>
        <w:t>(22 II 2022)</w:t>
      </w:r>
    </w:p>
    <w:p w:rsidR="005B7585" w:rsidRPr="007430A8" w:rsidRDefault="005B7585" w:rsidP="001C5DE9">
      <w:pPr>
        <w:pStyle w:val="Styl1"/>
        <w:rPr>
          <w:lang w:val="it-IT"/>
        </w:rPr>
      </w:pPr>
      <w:bookmarkStart w:id="16" w:name="_Toc132624665"/>
      <w:r w:rsidRPr="00E14010">
        <w:lastRenderedPageBreak/>
        <w:t>Karolina Kondracka</w:t>
      </w:r>
      <w:r w:rsidR="0061638B" w:rsidRPr="00E14010">
        <w:t xml:space="preserve"> (IS PAN)</w:t>
      </w:r>
      <w:r w:rsidRPr="00E14010">
        <w:t>,</w:t>
      </w:r>
      <w:r>
        <w:t xml:space="preserve"> </w:t>
      </w:r>
      <w:r w:rsidRPr="007430A8">
        <w:rPr>
          <w:lang w:val="it-IT"/>
        </w:rPr>
        <w:t>Muzyka Jakutów w relacjach polskich zesłańców na Syberię</w:t>
      </w:r>
      <w:bookmarkEnd w:id="16"/>
    </w:p>
    <w:p w:rsidR="005B7585" w:rsidRPr="005B7585" w:rsidRDefault="005B7585" w:rsidP="004406BA">
      <w:pPr>
        <w:jc w:val="both"/>
      </w:pPr>
      <w:r w:rsidRPr="005B7585">
        <w:t xml:space="preserve">Celem wykładu będzie omówienie polskich badań nad muzyką Jakutów na przełomie XIX i XX wieku oraz przedstawienie sylwetek zesłańców, którzy pozostawili po sobie materiały dotyczące kultury i sztuki tego niezwykłego ludu. </w:t>
      </w:r>
    </w:p>
    <w:p w:rsidR="005B7585" w:rsidRPr="005B7585" w:rsidRDefault="005B7585" w:rsidP="004406BA">
      <w:pPr>
        <w:jc w:val="both"/>
      </w:pPr>
      <w:r w:rsidRPr="005B7585">
        <w:t xml:space="preserve">XIX wiek był okresem, w którym cesarstwo rosyjskie zsyłało ogromną liczbę Polaków na Syberię. To właśnie tam znaleźli się: Wacław Sieroszewski, Edward Piekarski, Mikołaj </w:t>
      </w:r>
      <w:proofErr w:type="spellStart"/>
      <w:r w:rsidRPr="005B7585">
        <w:t>Witaszewski</w:t>
      </w:r>
      <w:proofErr w:type="spellEnd"/>
      <w:r w:rsidRPr="005B7585">
        <w:t xml:space="preserve">, Bazyli </w:t>
      </w:r>
      <w:proofErr w:type="spellStart"/>
      <w:r w:rsidRPr="005B7585">
        <w:t>Troszczański</w:t>
      </w:r>
      <w:proofErr w:type="spellEnd"/>
      <w:r w:rsidRPr="005B7585">
        <w:t xml:space="preserve"> i Sergiusz Jastrzębski, późniejsi znamienici badacze jakuckiej sztuki. </w:t>
      </w:r>
    </w:p>
    <w:p w:rsidR="005B7585" w:rsidRPr="005B7585" w:rsidRDefault="005B7585" w:rsidP="004406BA">
      <w:pPr>
        <w:jc w:val="both"/>
      </w:pPr>
      <w:r w:rsidRPr="005B7585">
        <w:t>Zajmowali się zbieraniem i spisywaniem bajek, pieśni i legend; wierzeń i obyczajów oraz folkloru. Nie obce były im badania terenowe, ekspedycje naukowe oraz muzyka. I to właśnie tej ostatniej zostanie poświęcony wykład, bowiem pozostawione przez zesłańców zapiski należą do jednych z pierwszych tego typu danych w dobie szybko postępującej rusyfikacji.</w:t>
      </w:r>
    </w:p>
    <w:p w:rsidR="005B7585" w:rsidRPr="005B7585" w:rsidRDefault="005B7585" w:rsidP="004406BA">
      <w:pPr>
        <w:jc w:val="both"/>
      </w:pPr>
      <w:r w:rsidRPr="005B7585">
        <w:t xml:space="preserve">Czy polscy zesłańcy brali udział w seansach szamańskich? Czy zetknęli się z instrumentami muzycznymi? Co myśleli o pieśniach i legendach Jakutów? Na te oraz inne pytania postara się odpowiedzieć </w:t>
      </w:r>
      <w:r>
        <w:t>referentka w trakcie wykładu</w:t>
      </w:r>
      <w:r w:rsidRPr="005B7585">
        <w:t xml:space="preserve">. </w:t>
      </w:r>
    </w:p>
    <w:p w:rsidR="005B7585" w:rsidRDefault="005B7585" w:rsidP="000D0CD9">
      <w:pPr>
        <w:jc w:val="right"/>
      </w:pPr>
      <w:r>
        <w:t>(</w:t>
      </w:r>
      <w:r w:rsidR="000D0CD9">
        <w:t>29 III 2022)</w:t>
      </w:r>
    </w:p>
    <w:p w:rsidR="005B7585" w:rsidRDefault="005B7585" w:rsidP="005B7585"/>
    <w:p w:rsidR="005B7585" w:rsidRPr="000D0CD9" w:rsidRDefault="000D0CD9" w:rsidP="001C5DE9">
      <w:pPr>
        <w:pStyle w:val="Styl1"/>
        <w:rPr>
          <w:lang w:eastAsia="pl-PL"/>
        </w:rPr>
      </w:pPr>
      <w:bookmarkStart w:id="17" w:name="_Toc132624666"/>
      <w:r w:rsidRPr="00E14010">
        <w:rPr>
          <w:lang w:eastAsia="pl-PL"/>
        </w:rPr>
        <w:t>Michał Piekarski (IHN PAN),</w:t>
      </w:r>
      <w:r w:rsidRPr="00801FAF">
        <w:rPr>
          <w:lang w:eastAsia="pl-PL"/>
        </w:rPr>
        <w:t xml:space="preserve"> </w:t>
      </w:r>
      <w:r w:rsidRPr="000D0CD9">
        <w:rPr>
          <w:lang w:eastAsia="pl-PL"/>
        </w:rPr>
        <w:t xml:space="preserve">Konrad </w:t>
      </w:r>
      <w:proofErr w:type="spellStart"/>
      <w:r w:rsidRPr="000D0CD9">
        <w:rPr>
          <w:lang w:eastAsia="pl-PL"/>
        </w:rPr>
        <w:t>Zawiłowski</w:t>
      </w:r>
      <w:proofErr w:type="spellEnd"/>
      <w:r w:rsidRPr="000D0CD9">
        <w:rPr>
          <w:lang w:eastAsia="pl-PL"/>
        </w:rPr>
        <w:t xml:space="preserve"> i Julian </w:t>
      </w:r>
      <w:proofErr w:type="spellStart"/>
      <w:r w:rsidRPr="000D0CD9">
        <w:rPr>
          <w:lang w:eastAsia="pl-PL"/>
        </w:rPr>
        <w:t>Pulikowski</w:t>
      </w:r>
      <w:proofErr w:type="spellEnd"/>
      <w:r w:rsidRPr="000D0CD9">
        <w:rPr>
          <w:lang w:eastAsia="pl-PL"/>
        </w:rPr>
        <w:t xml:space="preserve"> – dwie drogi kariery po uzyskaniu dyplomu z muzykologii na Uniwersytecie Wiedeńskim</w:t>
      </w:r>
      <w:bookmarkEnd w:id="17"/>
    </w:p>
    <w:p w:rsidR="00EE1C14" w:rsidRPr="00EE1C14" w:rsidRDefault="00EE1C14" w:rsidP="00EE1C14">
      <w:pPr>
        <w:rPr>
          <w:b/>
          <w:bCs/>
          <w:lang w:eastAsia="pl-PL"/>
        </w:rPr>
      </w:pPr>
    </w:p>
    <w:p w:rsidR="00EE1C14" w:rsidRPr="00EE1C14" w:rsidRDefault="00EE1C14" w:rsidP="00EE1C14">
      <w:pPr>
        <w:rPr>
          <w:lang w:eastAsia="pl-PL"/>
        </w:rPr>
      </w:pPr>
      <w:r w:rsidRPr="00EE1C14">
        <w:rPr>
          <w:lang w:eastAsia="pl-PL"/>
        </w:rPr>
        <w:t xml:space="preserve">Muzykologia jako dyscyplina uniwersytecka pojawiła się pod koniec XIX w. Pierwszy Instytut Muzykologii powstał na Uniwersytecie Wiedeńskim w 1898 r. Wkrótce w ramach nowej dyscypliny akademickiej zaczęli się kształcić także studenci z ziem polskich. Do 1938 r. uczelnia wiedeńska doczekała się 25 absolwentów, którzy byli narodowości polskiej lub pochodzili z ziem polskich. Pierwszym polskim muzykologiem został w 1902 r. Konrad </w:t>
      </w:r>
      <w:proofErr w:type="spellStart"/>
      <w:r w:rsidRPr="00EE1C14">
        <w:rPr>
          <w:lang w:eastAsia="pl-PL"/>
        </w:rPr>
        <w:t>Zawiłowski</w:t>
      </w:r>
      <w:proofErr w:type="spellEnd"/>
      <w:r w:rsidRPr="00EE1C14">
        <w:rPr>
          <w:lang w:eastAsia="pl-PL"/>
        </w:rPr>
        <w:t xml:space="preserve">. Absolwentem wiedeńskiej muzykologii był także Zdzisław Jachimecki, który po ukończeniu studiów w 1906 r. jako wykładowca wprowadził w 1911 r. dyscyplinę w mury Uniwersytetu Jagiellońskiego. Do jednego z ostatnich polskich absolwentów wiedeńskiej muzykologii sprzed 1938 r. należał Julian </w:t>
      </w:r>
      <w:proofErr w:type="spellStart"/>
      <w:r w:rsidRPr="00EE1C14">
        <w:rPr>
          <w:lang w:eastAsia="pl-PL"/>
        </w:rPr>
        <w:t>Pulikowski</w:t>
      </w:r>
      <w:proofErr w:type="spellEnd"/>
      <w:r w:rsidRPr="00EE1C14">
        <w:rPr>
          <w:lang w:eastAsia="pl-PL"/>
        </w:rPr>
        <w:t xml:space="preserve">, który dyplom uzyskał w 1932 r. </w:t>
      </w:r>
      <w:proofErr w:type="spellStart"/>
      <w:r w:rsidRPr="00EE1C14">
        <w:rPr>
          <w:lang w:eastAsia="pl-PL"/>
        </w:rPr>
        <w:t>Pulikowski</w:t>
      </w:r>
      <w:proofErr w:type="spellEnd"/>
      <w:r w:rsidRPr="00EE1C14">
        <w:rPr>
          <w:lang w:eastAsia="pl-PL"/>
        </w:rPr>
        <w:t xml:space="preserve"> odznaczył się jako pierwszy wykładowca muzykologii na Uniwersytecie Warszawskim (1935–1939). </w:t>
      </w:r>
    </w:p>
    <w:p w:rsidR="00EE1C14" w:rsidRPr="00EE1C14" w:rsidRDefault="00EE1C14" w:rsidP="00EE1C14">
      <w:pPr>
        <w:rPr>
          <w:lang w:eastAsia="pl-PL"/>
        </w:rPr>
      </w:pPr>
      <w:r w:rsidRPr="00EE1C14">
        <w:rPr>
          <w:lang w:eastAsia="pl-PL"/>
        </w:rPr>
        <w:t xml:space="preserve">Różne były drogi i motywacje prowadzące do obrania studiów muzykologicznych. Dla studentów z ziem polskich wiązały się one z decyzją wyjazdu do Wiednia, który przyciągał nie tylko ze względu na oferowane studia. Różne były też uwarunkowania dotyczące samych studiów. W czasach </w:t>
      </w:r>
      <w:proofErr w:type="spellStart"/>
      <w:r w:rsidRPr="00EE1C14">
        <w:rPr>
          <w:lang w:eastAsia="pl-PL"/>
        </w:rPr>
        <w:t>Zawiłowskiego</w:t>
      </w:r>
      <w:proofErr w:type="spellEnd"/>
      <w:r w:rsidRPr="00EE1C14">
        <w:rPr>
          <w:lang w:eastAsia="pl-PL"/>
        </w:rPr>
        <w:t xml:space="preserve"> muzykologia była dziedziną wiedzy nieznaną poza wąskim kręgiem zainteresowanych, w okresie gdy studiował </w:t>
      </w:r>
      <w:proofErr w:type="spellStart"/>
      <w:r w:rsidRPr="00EE1C14">
        <w:rPr>
          <w:lang w:eastAsia="pl-PL"/>
        </w:rPr>
        <w:t>Pulikowski</w:t>
      </w:r>
      <w:proofErr w:type="spellEnd"/>
      <w:r w:rsidRPr="00EE1C14">
        <w:rPr>
          <w:lang w:eastAsia="pl-PL"/>
        </w:rPr>
        <w:t xml:space="preserve"> miała już w Wiedniu ugruntowaną pozycję wśród nauk uniwersyteckich. Odmiennie kształtowały się też kariery absolwentów wiedeńskiej uczelni. Choć </w:t>
      </w:r>
      <w:proofErr w:type="spellStart"/>
      <w:r w:rsidRPr="00EE1C14">
        <w:rPr>
          <w:lang w:eastAsia="pl-PL"/>
        </w:rPr>
        <w:t>Zawiłowski</w:t>
      </w:r>
      <w:proofErr w:type="spellEnd"/>
      <w:r w:rsidRPr="00EE1C14">
        <w:rPr>
          <w:lang w:eastAsia="pl-PL"/>
        </w:rPr>
        <w:t xml:space="preserve"> uzyskał dyplom doktorski, ostatecznie obrał karierę artystyczną, dlatego zasłynął jako „śpiewający doktor”. Poprzez działalność </w:t>
      </w:r>
      <w:proofErr w:type="spellStart"/>
      <w:r w:rsidRPr="00EE1C14">
        <w:rPr>
          <w:lang w:eastAsia="pl-PL"/>
        </w:rPr>
        <w:t>Pulikowskiego</w:t>
      </w:r>
      <w:proofErr w:type="spellEnd"/>
      <w:r w:rsidRPr="00EE1C14">
        <w:rPr>
          <w:lang w:eastAsia="pl-PL"/>
        </w:rPr>
        <w:t xml:space="preserve"> możemy zaobserwować dość oczywisty wpływ ośrodka wiedeńskiego na muzykologię warszawską, zaś za sprawą kontaktów nieformalnych zauważalne jest mniej oczywiste oddziaływanie ośrodka lwowskiego z jego założycielem i kierownikiem Adolfem Chybińskim.  </w:t>
      </w:r>
    </w:p>
    <w:p w:rsidR="000D0CD9" w:rsidRDefault="000D0CD9" w:rsidP="000D0CD9">
      <w:pPr>
        <w:jc w:val="right"/>
        <w:rPr>
          <w:lang w:eastAsia="pl-PL"/>
        </w:rPr>
      </w:pPr>
      <w:r>
        <w:rPr>
          <w:lang w:eastAsia="pl-PL"/>
        </w:rPr>
        <w:t>(25 X 2022)</w:t>
      </w:r>
    </w:p>
    <w:p w:rsidR="000D0CD9" w:rsidRDefault="000D0CD9" w:rsidP="001C5DE9">
      <w:pPr>
        <w:pStyle w:val="Styl1"/>
        <w:rPr>
          <w:lang w:eastAsia="pl-PL"/>
        </w:rPr>
      </w:pPr>
      <w:bookmarkStart w:id="18" w:name="_Toc132624667"/>
      <w:r w:rsidRPr="00E14010">
        <w:rPr>
          <w:lang w:eastAsia="pl-PL"/>
        </w:rPr>
        <w:lastRenderedPageBreak/>
        <w:t>Barbara Mielcarek-Krzyżanowska</w:t>
      </w:r>
      <w:r w:rsidR="0061638B" w:rsidRPr="00E14010">
        <w:rPr>
          <w:lang w:eastAsia="pl-PL"/>
        </w:rPr>
        <w:t xml:space="preserve"> (AM Bydgoszcz)</w:t>
      </w:r>
      <w:r w:rsidRPr="00E14010">
        <w:rPr>
          <w:lang w:eastAsia="pl-PL"/>
        </w:rPr>
        <w:t>,</w:t>
      </w:r>
      <w:r w:rsidRPr="00801FAF">
        <w:rPr>
          <w:lang w:eastAsia="pl-PL"/>
        </w:rPr>
        <w:t xml:space="preserve"> Między Polską a Francją – działalność Marii </w:t>
      </w:r>
      <w:proofErr w:type="spellStart"/>
      <w:r w:rsidRPr="00801FAF">
        <w:rPr>
          <w:lang w:eastAsia="pl-PL"/>
        </w:rPr>
        <w:t>Modrakowskiej</w:t>
      </w:r>
      <w:bookmarkEnd w:id="18"/>
      <w:proofErr w:type="spellEnd"/>
    </w:p>
    <w:p w:rsidR="000D0CD9" w:rsidRDefault="000D0CD9" w:rsidP="004406BA">
      <w:pPr>
        <w:jc w:val="both"/>
      </w:pPr>
      <w:r>
        <w:t>Międzywojenny Paryż był miastem nieograniczonych możliwości dla artystów reprezentujących rozmaite dyscypliny sztuki. To tam młodych polskich kompozytorów wys</w:t>
      </w:r>
      <w:r w:rsidR="004406BA">
        <w:t xml:space="preserve">yłał na studia u Paula </w:t>
      </w:r>
      <w:proofErr w:type="spellStart"/>
      <w:r w:rsidR="004406BA">
        <w:t>Dukasa</w:t>
      </w:r>
      <w:proofErr w:type="spellEnd"/>
      <w:r w:rsidR="004406BA">
        <w:t xml:space="preserve"> i </w:t>
      </w:r>
      <w:r>
        <w:t xml:space="preserve">Nadii Boulanger Karol Szymanowski. W </w:t>
      </w:r>
      <w:proofErr w:type="spellStart"/>
      <w:r>
        <w:t>École</w:t>
      </w:r>
      <w:proofErr w:type="spellEnd"/>
      <w:r>
        <w:t xml:space="preserve"> </w:t>
      </w:r>
      <w:proofErr w:type="spellStart"/>
      <w:r>
        <w:t>Normale</w:t>
      </w:r>
      <w:proofErr w:type="spellEnd"/>
      <w:r>
        <w:t xml:space="preserve"> de </w:t>
      </w:r>
      <w:proofErr w:type="spellStart"/>
      <w:r>
        <w:t>Musique</w:t>
      </w:r>
      <w:proofErr w:type="spellEnd"/>
      <w:r>
        <w:t xml:space="preserve"> kształcili się jednak nie tylko twórcy, ale i wybitni wykonawcy. O ile dla pierwszych Paryż był gwarantem uniezależnienia ich języka muzycznego od wpływów niemieckich, dla drugich potrafił stać się miejscem rozpoczęcia wielkiej międzynarodowej kariery.</w:t>
      </w:r>
    </w:p>
    <w:p w:rsidR="000D0CD9" w:rsidRPr="00AD014B" w:rsidRDefault="000D0CD9" w:rsidP="004406BA">
      <w:pPr>
        <w:jc w:val="both"/>
      </w:pPr>
      <w:r>
        <w:t xml:space="preserve">W marcu 1931 roku, krótko po przyjeździe na stypendium artystyczne do stolicy Francji, a zarazem – jak pisała Renata </w:t>
      </w:r>
      <w:proofErr w:type="spellStart"/>
      <w:r>
        <w:t>Suchowiejko</w:t>
      </w:r>
      <w:proofErr w:type="spellEnd"/>
      <w:r>
        <w:t xml:space="preserve"> </w:t>
      </w:r>
      <w:r w:rsidR="007430A8">
        <w:t>„</w:t>
      </w:r>
      <w:r>
        <w:t>drugiej, muzycznej stolicy Polski</w:t>
      </w:r>
      <w:r w:rsidR="007430A8">
        <w:t>”</w:t>
      </w:r>
      <w:r>
        <w:t xml:space="preserve">, Maria </w:t>
      </w:r>
      <w:proofErr w:type="spellStart"/>
      <w:r>
        <w:t>Modrakowska</w:t>
      </w:r>
      <w:proofErr w:type="spellEnd"/>
      <w:r>
        <w:t xml:space="preserve"> interpretowała podczas koncertu Stowarzyszenia Młodych Muzyków Polskich lirykę wokalną kompozytorów studiujących wówczas w </w:t>
      </w:r>
      <w:proofErr w:type="spellStart"/>
      <w:r>
        <w:t>École</w:t>
      </w:r>
      <w:proofErr w:type="spellEnd"/>
      <w:r>
        <w:t xml:space="preserve"> </w:t>
      </w:r>
      <w:proofErr w:type="spellStart"/>
      <w:r>
        <w:t>Normale</w:t>
      </w:r>
      <w:proofErr w:type="spellEnd"/>
      <w:r>
        <w:t xml:space="preserve"> de </w:t>
      </w:r>
      <w:proofErr w:type="spellStart"/>
      <w:r>
        <w:t>Musique</w:t>
      </w:r>
      <w:proofErr w:type="spellEnd"/>
      <w:r>
        <w:t xml:space="preserve">. Po jej debiucie Georges </w:t>
      </w:r>
      <w:proofErr w:type="spellStart"/>
      <w:r>
        <w:t>Dandelot</w:t>
      </w:r>
      <w:proofErr w:type="spellEnd"/>
      <w:r>
        <w:t xml:space="preserve"> notował: </w:t>
      </w:r>
      <w:r w:rsidR="007430A8">
        <w:t>„</w:t>
      </w:r>
      <w:r>
        <w:t>[…] ma wszystko, aby się podobać […] wdzięk, dostojność i jeden z najpiękniejszych głosów</w:t>
      </w:r>
      <w:r w:rsidR="007430A8">
        <w:t>”</w:t>
      </w:r>
      <w:r>
        <w:t xml:space="preserve">, a kolejne koncerty i recitale utwierdzały krytyków w przekonaniu, że na paryskich scenach koncertowych pojawiła się zjawiskowa interpretatorka (nie tylko polskiej liryki wokalnej). Uznaniem dla talentu </w:t>
      </w:r>
      <w:proofErr w:type="spellStart"/>
      <w:r>
        <w:t>Modrakowskiej</w:t>
      </w:r>
      <w:proofErr w:type="spellEnd"/>
      <w:r>
        <w:t xml:space="preserve"> stało się zaangażowanie jej w </w:t>
      </w:r>
      <w:proofErr w:type="spellStart"/>
      <w:r>
        <w:t>Opéra</w:t>
      </w:r>
      <w:proofErr w:type="spellEnd"/>
      <w:r>
        <w:t xml:space="preserve"> </w:t>
      </w:r>
      <w:proofErr w:type="spellStart"/>
      <w:r>
        <w:t>Comique</w:t>
      </w:r>
      <w:proofErr w:type="spellEnd"/>
      <w:r>
        <w:t xml:space="preserve">, gdzie w 1932 roku </w:t>
      </w:r>
      <w:r w:rsidRPr="000D0CD9">
        <w:t>kreowała główną rolę żeńską</w:t>
      </w:r>
      <w:r>
        <w:t xml:space="preserve"> w operze </w:t>
      </w:r>
      <w:proofErr w:type="spellStart"/>
      <w:r>
        <w:rPr>
          <w:i/>
        </w:rPr>
        <w:t>Peleas</w:t>
      </w:r>
      <w:proofErr w:type="spellEnd"/>
      <w:r>
        <w:rPr>
          <w:i/>
        </w:rPr>
        <w:t xml:space="preserve"> i </w:t>
      </w:r>
      <w:proofErr w:type="spellStart"/>
      <w:r>
        <w:rPr>
          <w:i/>
        </w:rPr>
        <w:t>Melizanda</w:t>
      </w:r>
      <w:proofErr w:type="spellEnd"/>
      <w:r>
        <w:rPr>
          <w:i/>
        </w:rPr>
        <w:t xml:space="preserve"> </w:t>
      </w:r>
      <w:r>
        <w:t>Claude’a Debussy’ego.</w:t>
      </w:r>
    </w:p>
    <w:p w:rsidR="000D0CD9" w:rsidRDefault="000D0CD9" w:rsidP="004406BA">
      <w:pPr>
        <w:jc w:val="both"/>
      </w:pPr>
      <w:r>
        <w:t xml:space="preserve">I choć nieprzecenione są jej zasługi w zakresie wprowadzania na estrady utworów polskich kompozytorów, rozpropagowania polskiej kultury we Francji (dla niej Francis </w:t>
      </w:r>
      <w:proofErr w:type="spellStart"/>
      <w:r>
        <w:t>Poulenc</w:t>
      </w:r>
      <w:proofErr w:type="spellEnd"/>
      <w:r>
        <w:t xml:space="preserve"> zharmonizował </w:t>
      </w:r>
      <w:r w:rsidRPr="00DF3DCF">
        <w:rPr>
          <w:i/>
        </w:rPr>
        <w:t>Osiem pieśni polskich</w:t>
      </w:r>
      <w:r>
        <w:t xml:space="preserve">, które wykonywali wspólnie m.in. podczas tournée w Europie i Afryce Północnej), zasłynęła także jako autorka barwnych felietonów publikowanych na łamach </w:t>
      </w:r>
      <w:r w:rsidR="007430A8">
        <w:t>„</w:t>
      </w:r>
      <w:r>
        <w:t>Kuriera Wileńskiego</w:t>
      </w:r>
      <w:r w:rsidR="007430A8">
        <w:t>”</w:t>
      </w:r>
      <w:r>
        <w:t xml:space="preserve">, utrwalających moment jej przyjazdu do Paryża oraz pierwsze tygodnie pobytu i intensywnej działalności artystycznej. </w:t>
      </w:r>
    </w:p>
    <w:p w:rsidR="000D0CD9" w:rsidRDefault="000D0CD9" w:rsidP="004406BA">
      <w:pPr>
        <w:jc w:val="both"/>
      </w:pPr>
      <w:r>
        <w:t xml:space="preserve">Po powrocie do kraju w 1938 roku przygotowywała się do tournée po Ameryce, Australii i Japonii, ale w Olsztynie niedaleko Częstochowy zastała ją II wojna światowa. W okresie okupacji prowadziła działalność organizacyjną, a po wojnie czyniła starania o otwarcie szkoły muzycznej w Częstochowie, w której prowadziła później klasę śpiewu oraz wykładała historię muzyki. Po przeniesieniu się w 1949 roku do Krakowa rozpoczęła pracę w tamtejszych szkołach muzycznych oraz w Państwowej Wyższej Szkole Teatralnej, gdzie </w:t>
      </w:r>
      <w:r w:rsidRPr="000D0CD9">
        <w:t>jej</w:t>
      </w:r>
      <w:r>
        <w:t xml:space="preserve"> uczniami i studentami byli: Krzysztof Penderecki, Piotr Poźniak, Marek Stachowski, Ewa Demarczyk, Kalina Jędrusik, Anna Polony, Anna Seniuk czy Jerzy Bińczycki. </w:t>
      </w:r>
    </w:p>
    <w:p w:rsidR="000D0CD9" w:rsidRDefault="000D0CD9" w:rsidP="000D0CD9">
      <w:pPr>
        <w:jc w:val="right"/>
        <w:rPr>
          <w:rFonts w:asciiTheme="majorHAnsi" w:eastAsia="Times New Roman" w:hAnsiTheme="majorHAnsi" w:cstheme="majorHAnsi"/>
          <w:iCs/>
          <w:sz w:val="24"/>
          <w:szCs w:val="24"/>
          <w:lang w:eastAsia="pl-PL"/>
        </w:rPr>
      </w:pPr>
      <w:r w:rsidRPr="000D0CD9">
        <w:rPr>
          <w:rFonts w:asciiTheme="majorHAnsi" w:eastAsia="Times New Roman" w:hAnsiTheme="majorHAnsi" w:cstheme="majorHAnsi"/>
          <w:iCs/>
          <w:sz w:val="24"/>
          <w:szCs w:val="24"/>
          <w:lang w:eastAsia="pl-PL"/>
        </w:rPr>
        <w:t>(29 XI 2022)</w:t>
      </w:r>
    </w:p>
    <w:p w:rsidR="000D0CD9" w:rsidRDefault="000D0CD9" w:rsidP="000D0CD9">
      <w:pPr>
        <w:jc w:val="right"/>
      </w:pPr>
    </w:p>
    <w:p w:rsidR="000D0CD9" w:rsidRPr="00EC7072" w:rsidRDefault="000D0CD9" w:rsidP="001C5DE9">
      <w:pPr>
        <w:pStyle w:val="Styl1"/>
        <w:rPr>
          <w:lang w:eastAsia="pl-PL"/>
        </w:rPr>
      </w:pPr>
      <w:bookmarkStart w:id="19" w:name="_Toc132624668"/>
      <w:r w:rsidRPr="00E14010">
        <w:rPr>
          <w:lang w:eastAsia="pl-PL"/>
        </w:rPr>
        <w:t>Małgorzata Sieradz</w:t>
      </w:r>
      <w:r w:rsidR="0061638B" w:rsidRPr="00E14010">
        <w:rPr>
          <w:lang w:eastAsia="pl-PL"/>
        </w:rPr>
        <w:t xml:space="preserve"> (IS PAN)</w:t>
      </w:r>
      <w:r w:rsidRPr="00E14010">
        <w:rPr>
          <w:lang w:eastAsia="pl-PL"/>
        </w:rPr>
        <w:t>,</w:t>
      </w:r>
      <w:r w:rsidRPr="00801FAF">
        <w:rPr>
          <w:lang w:eastAsia="pl-PL"/>
        </w:rPr>
        <w:t xml:space="preserve"> </w:t>
      </w:r>
      <w:r w:rsidRPr="00EC7072">
        <w:rPr>
          <w:lang w:eastAsia="pl-PL"/>
        </w:rPr>
        <w:t>Pęd do wiedzy. Zagraniczny uniwersytet jako wybór czy konieczność</w:t>
      </w:r>
      <w:bookmarkEnd w:id="19"/>
    </w:p>
    <w:p w:rsidR="000D0CD9" w:rsidRPr="000D0CD9" w:rsidRDefault="000D0CD9" w:rsidP="004406BA">
      <w:pPr>
        <w:jc w:val="both"/>
      </w:pPr>
      <w:r w:rsidRPr="000D0CD9">
        <w:t xml:space="preserve">Działające w końcu XIX w. na dawnych ziemiach polskich uniwersytety </w:t>
      </w:r>
      <w:r w:rsidR="004406BA">
        <w:t>– we Lwowie, Wilnie, Krakowie i </w:t>
      </w:r>
      <w:r w:rsidRPr="000D0CD9">
        <w:t xml:space="preserve">Warszawie – za sprawą postępujących małymi krokami luzowań zaborców dotyczących organizacji uczelni i szkolnictwa wyższego – stawały się ośrodkami atrakcyjnymi zarówno dla młodzieży polskiej, jak i reprezentantów innych nacji. </w:t>
      </w:r>
    </w:p>
    <w:p w:rsidR="000D0CD9" w:rsidRPr="000D0CD9" w:rsidRDefault="000D0CD9" w:rsidP="004406BA">
      <w:pPr>
        <w:jc w:val="both"/>
      </w:pPr>
      <w:r w:rsidRPr="000D0CD9">
        <w:t>Autonomia, jaką w połowie stulecia uzyskała Galicja ze strony Austrii, pozwoliła choćby na przywrócenie języka polskiego jako wykładowego. Rozwijały się dynamicznie wydzi</w:t>
      </w:r>
      <w:r w:rsidR="004406BA">
        <w:t>ały matematyczno-przyrodnicze i </w:t>
      </w:r>
      <w:r w:rsidRPr="000D0CD9">
        <w:t xml:space="preserve">humanistyczne, cóż jednak, gdy brakowało na nich katedr niszowych, wcześniej w owych Alma </w:t>
      </w:r>
      <w:proofErr w:type="spellStart"/>
      <w:r w:rsidRPr="000D0CD9">
        <w:t>Mater</w:t>
      </w:r>
      <w:proofErr w:type="spellEnd"/>
      <w:r w:rsidRPr="000D0CD9">
        <w:t xml:space="preserve"> nieobecnych. Taka sytuacja i pragnienie zgłębiania wiedzy w zakresie historii i teorii muzyki zmusiła kilku późniejszych pionierów, ojców-założycieli muzykologii polskiej, do migracji na uniwersytety zagraniczne.</w:t>
      </w:r>
    </w:p>
    <w:p w:rsidR="000D0CD9" w:rsidRDefault="000D0CD9" w:rsidP="004406BA">
      <w:pPr>
        <w:jc w:val="both"/>
      </w:pPr>
      <w:r w:rsidRPr="000D0CD9">
        <w:lastRenderedPageBreak/>
        <w:t xml:space="preserve">Jakich ośrodków docelowo te migracje dotyczyły i czym takie wybory skutkowały dla kształtowania się muzykologii w Polsce, czy migracje </w:t>
      </w:r>
      <w:r w:rsidR="007430A8">
        <w:t>„</w:t>
      </w:r>
      <w:r w:rsidRPr="000D0CD9">
        <w:t>za wiedzą</w:t>
      </w:r>
      <w:r w:rsidR="007430A8">
        <w:t>”</w:t>
      </w:r>
      <w:r w:rsidRPr="000D0CD9">
        <w:t xml:space="preserve"> ograniczyły się jedynie do pokolenia prekursorów tej dziedziny w Polsce, jakie były inne przyczyny, dla których studia muzykologiczne poza Polską podejmowano także później – próba odpowiedzi na te pytania wraz z naszkicowaniem kilku biografii, będzie tematem wykładu </w:t>
      </w:r>
      <w:r w:rsidR="007430A8">
        <w:t>„</w:t>
      </w:r>
      <w:r w:rsidRPr="000D0CD9">
        <w:t>Pęd do wiedzy. Zagraniczny uniwersytet jako wybór czy konieczność</w:t>
      </w:r>
      <w:r w:rsidR="007430A8">
        <w:t>”</w:t>
      </w:r>
      <w:r w:rsidRPr="000D0CD9">
        <w:t>.</w:t>
      </w:r>
    </w:p>
    <w:p w:rsidR="000D0CD9" w:rsidRPr="000D0CD9" w:rsidRDefault="000D0CD9" w:rsidP="000D0CD9">
      <w:pPr>
        <w:jc w:val="right"/>
      </w:pPr>
      <w:r>
        <w:t>(31 I 2023)</w:t>
      </w:r>
    </w:p>
    <w:p w:rsidR="000D0CD9" w:rsidRDefault="000D0CD9" w:rsidP="000D0CD9">
      <w:pPr>
        <w:jc w:val="right"/>
      </w:pPr>
    </w:p>
    <w:p w:rsidR="000D0CD9" w:rsidRDefault="000D0CD9" w:rsidP="001C5DE9">
      <w:pPr>
        <w:pStyle w:val="Styl1"/>
        <w:rPr>
          <w:lang w:eastAsia="pl-PL"/>
        </w:rPr>
      </w:pPr>
      <w:bookmarkStart w:id="20" w:name="_Toc132624669"/>
      <w:r w:rsidRPr="00E14010">
        <w:rPr>
          <w:lang w:eastAsia="pl-PL"/>
        </w:rPr>
        <w:t xml:space="preserve">Piotr </w:t>
      </w:r>
      <w:proofErr w:type="spellStart"/>
      <w:r w:rsidRPr="00E14010">
        <w:rPr>
          <w:lang w:eastAsia="pl-PL"/>
        </w:rPr>
        <w:t>Jamski</w:t>
      </w:r>
      <w:proofErr w:type="spellEnd"/>
      <w:r w:rsidR="0061638B" w:rsidRPr="00E14010">
        <w:rPr>
          <w:lang w:eastAsia="pl-PL"/>
        </w:rPr>
        <w:t xml:space="preserve"> (IS PAN)</w:t>
      </w:r>
      <w:r w:rsidRPr="00E14010">
        <w:rPr>
          <w:lang w:eastAsia="pl-PL"/>
        </w:rPr>
        <w:t>,</w:t>
      </w:r>
      <w:r w:rsidRPr="00801FAF">
        <w:rPr>
          <w:lang w:eastAsia="pl-PL"/>
        </w:rPr>
        <w:t xml:space="preserve"> </w:t>
      </w:r>
      <w:r w:rsidRPr="00EC7072">
        <w:rPr>
          <w:lang w:eastAsia="pl-PL"/>
        </w:rPr>
        <w:t>Wędrowni Ludwisarze i mobilne dzwony</w:t>
      </w:r>
      <w:bookmarkEnd w:id="20"/>
    </w:p>
    <w:p w:rsidR="00EC7072" w:rsidRDefault="004E1C8A" w:rsidP="004E1C8A">
      <w:pPr>
        <w:spacing w:after="240" w:line="240" w:lineRule="auto"/>
        <w:jc w:val="both"/>
        <w:rPr>
          <w:rFonts w:asciiTheme="majorHAnsi" w:eastAsia="Times New Roman" w:hAnsiTheme="majorHAnsi" w:cstheme="majorHAnsi"/>
          <w:iCs/>
          <w:sz w:val="24"/>
          <w:szCs w:val="24"/>
          <w:lang w:eastAsia="pl-PL"/>
        </w:rPr>
      </w:pPr>
      <w:r>
        <w:t xml:space="preserve">Ludwisarstwo przez wieki było zawodem związanym z przemieszczaniem się, gdyż dostarczenie ciężkich wyrobów do miejsca zamówienia często przysparzało więcej trudności niż przyjazd mistrza i organizacja miejsca odlania instrumentu. Również dość szybkie nasycenie terytorium wyrobami, które powodowało, że </w:t>
      </w:r>
      <w:proofErr w:type="spellStart"/>
      <w:r>
        <w:t>dzwonoleje</w:t>
      </w:r>
      <w:proofErr w:type="spellEnd"/>
      <w:r>
        <w:t xml:space="preserve"> zmuszeni byli do przenoszenia swojej działalności na coraz to nowe terytoria. Między innymi, w czasach nowożytnym, skutkowało to zjawiskiem jak lotaryńscy ludwisarze wędrowni zaznaczający swą obecność niemal w całej Europie. Rozwój transportu i szlaków komunikacyjnych w XIX i XX wieku, który spowodował możliwość łatwiejszego dotarcia do klienta, nie wyeliminował w środowisku twórców dzwonów migracji. Uwarunkowania rodzinne, prawne, finansowe, związane z opłatami celnymi oraz chęć rozszerzania własnej działalności nadal wpływały na przenoszenie produkcji i miejsc zamieszkania wielu twórców. W trakcie przepływów migracyjnych ludzi dochodziło również do przenoszenia dokonań warsztatowych i języka artystycznego. Osobnym omówionym pokrótce zagadnieniem jest mobilność samych dzwonów traktowanych w Europie od ponad tysiąca lat jako: łup wojenny, rezerwuar surowca, wróg idei, jak również pożądany lub odrzucany integrujący społeczeństwo element </w:t>
      </w:r>
      <w:proofErr w:type="spellStart"/>
      <w:r>
        <w:t>fonosfery</w:t>
      </w:r>
      <w:proofErr w:type="spellEnd"/>
      <w:r>
        <w:t>.</w:t>
      </w:r>
    </w:p>
    <w:p w:rsidR="000D0CD9" w:rsidRPr="000D0CD9" w:rsidRDefault="00EC7072" w:rsidP="00EC7072">
      <w:pPr>
        <w:spacing w:after="240" w:line="240" w:lineRule="auto"/>
        <w:jc w:val="right"/>
        <w:rPr>
          <w:rFonts w:asciiTheme="majorHAnsi" w:eastAsia="Times New Roman" w:hAnsiTheme="majorHAnsi" w:cstheme="majorHAnsi"/>
          <w:iCs/>
          <w:sz w:val="24"/>
          <w:szCs w:val="24"/>
          <w:lang w:eastAsia="pl-PL"/>
        </w:rPr>
      </w:pPr>
      <w:r>
        <w:rPr>
          <w:rFonts w:asciiTheme="majorHAnsi" w:eastAsia="Times New Roman" w:hAnsiTheme="majorHAnsi" w:cstheme="majorHAnsi"/>
          <w:iCs/>
          <w:sz w:val="24"/>
          <w:szCs w:val="24"/>
          <w:lang w:eastAsia="pl-PL"/>
        </w:rPr>
        <w:t>(28</w:t>
      </w:r>
      <w:r w:rsidR="000D0CD9" w:rsidRPr="000D0CD9">
        <w:rPr>
          <w:rFonts w:asciiTheme="majorHAnsi" w:eastAsia="Times New Roman" w:hAnsiTheme="majorHAnsi" w:cstheme="majorHAnsi"/>
          <w:iCs/>
          <w:sz w:val="24"/>
          <w:szCs w:val="24"/>
          <w:lang w:eastAsia="pl-PL"/>
        </w:rPr>
        <w:t xml:space="preserve"> II 2023)</w:t>
      </w:r>
    </w:p>
    <w:p w:rsidR="000D0CD9" w:rsidRPr="000D0CD9" w:rsidRDefault="000D0CD9" w:rsidP="000D0CD9">
      <w:pPr>
        <w:spacing w:after="240" w:line="240" w:lineRule="auto"/>
        <w:rPr>
          <w:rFonts w:asciiTheme="majorHAnsi" w:eastAsia="Times New Roman" w:hAnsiTheme="majorHAnsi" w:cstheme="majorHAnsi"/>
          <w:iCs/>
          <w:sz w:val="24"/>
          <w:szCs w:val="24"/>
          <w:lang w:eastAsia="pl-PL"/>
        </w:rPr>
      </w:pPr>
    </w:p>
    <w:p w:rsidR="000D0CD9" w:rsidRPr="00EC7072" w:rsidRDefault="00EC7072" w:rsidP="001C5DE9">
      <w:pPr>
        <w:pStyle w:val="Styl1"/>
        <w:rPr>
          <w:lang w:eastAsia="pl-PL"/>
        </w:rPr>
      </w:pPr>
      <w:bookmarkStart w:id="21" w:name="_Toc132624670"/>
      <w:r w:rsidRPr="00E14010">
        <w:rPr>
          <w:lang w:eastAsia="pl-PL"/>
        </w:rPr>
        <w:t>Łukasz Smoluch</w:t>
      </w:r>
      <w:r w:rsidR="0061638B" w:rsidRPr="00E14010">
        <w:rPr>
          <w:lang w:eastAsia="pl-PL"/>
        </w:rPr>
        <w:t xml:space="preserve"> (UAM)</w:t>
      </w:r>
      <w:r w:rsidRPr="00E14010">
        <w:rPr>
          <w:lang w:eastAsia="pl-PL"/>
        </w:rPr>
        <w:t>,</w:t>
      </w:r>
      <w:r w:rsidRPr="00801FAF">
        <w:rPr>
          <w:lang w:eastAsia="pl-PL"/>
        </w:rPr>
        <w:t xml:space="preserve"> </w:t>
      </w:r>
      <w:r w:rsidRPr="00EC7072">
        <w:rPr>
          <w:lang w:eastAsia="pl-PL"/>
        </w:rPr>
        <w:t xml:space="preserve">Muzyczne </w:t>
      </w:r>
      <w:proofErr w:type="spellStart"/>
      <w:r w:rsidRPr="00EC7072">
        <w:rPr>
          <w:lang w:eastAsia="pl-PL"/>
        </w:rPr>
        <w:t>performanse</w:t>
      </w:r>
      <w:proofErr w:type="spellEnd"/>
      <w:r w:rsidRPr="00EC7072">
        <w:rPr>
          <w:lang w:eastAsia="pl-PL"/>
        </w:rPr>
        <w:t xml:space="preserve"> jako narzędzie negocjowania tożsamości w polskich społecznościach poza granicami kraju</w:t>
      </w:r>
      <w:bookmarkEnd w:id="21"/>
    </w:p>
    <w:p w:rsidR="00084476" w:rsidRDefault="00084476" w:rsidP="00084476">
      <w:pPr>
        <w:jc w:val="both"/>
      </w:pPr>
      <w:r>
        <w:t xml:space="preserve">Jeśli przyjąć, że muzyka to przede wszystkim działanie społeczne uwikłane w sieć kulturowych znaczeń, nie dziwi ogromna rola muzykowania w kształtowaniu tożsamości jednostek i grup. W życiu diaspor, mniejszości etnicznych i religijnych, społeczności </w:t>
      </w:r>
      <w:proofErr w:type="spellStart"/>
      <w:r>
        <w:t>migranckich</w:t>
      </w:r>
      <w:proofErr w:type="spellEnd"/>
      <w:r>
        <w:t xml:space="preserve"> – czyli w sytuacji bezustannego przetwarzania zbiorowych wyobrażeń o sobie i własnej ojczyźnie – rola ta wydaje się jeszcze wyraźniejsza.</w:t>
      </w:r>
    </w:p>
    <w:p w:rsidR="00EC7072" w:rsidRDefault="00084476" w:rsidP="00084476">
      <w:pPr>
        <w:jc w:val="both"/>
      </w:pPr>
      <w:r>
        <w:t>Wykład, oparty na własnych badaniach terenowych, poświęcony będzie tradycjom muzycznym społeczności polskich zamieszkujących Syberię, Brazylię i Australię, które tworzone są przez migrantów i potomków migrantów z XIX, XX i XXI wieku. To, jak definiuje się każda z tych grup i co jest dla niej ważne, to efekt bezustannej negocjacji pomiędzy jej członkami. Jedną z przestrzeni, w której widoczny jest ten proces, jest życie muzyczne. Repertuar, muzyczne wykonania i sytuacje, w których do nich dochodzi, towarzysząca im scenografia, zachowanie artystów i publiczności – wszystko to jest przedmiotem interpretacji, nadawania i odczytywania znaczeń oraz odbywa się w ścisłym związku z doświadczeniami wspólnymi dla całej społeczności, a także losami każdego z jej przedstawicieli z osobna.</w:t>
      </w:r>
    </w:p>
    <w:p w:rsidR="00EC7072" w:rsidRDefault="00EC7072" w:rsidP="000D0CD9">
      <w:pPr>
        <w:jc w:val="right"/>
      </w:pPr>
      <w:r>
        <w:t>(28 III 2023)</w:t>
      </w:r>
    </w:p>
    <w:p w:rsidR="00EC7072" w:rsidRDefault="00EC7072" w:rsidP="000D0CD9">
      <w:pPr>
        <w:jc w:val="right"/>
      </w:pPr>
    </w:p>
    <w:p w:rsidR="004E1C8A" w:rsidRDefault="004E1C8A" w:rsidP="001C5DE9">
      <w:pPr>
        <w:pStyle w:val="Styl1"/>
        <w:rPr>
          <w:lang w:eastAsia="pl-PL"/>
        </w:rPr>
      </w:pPr>
      <w:bookmarkStart w:id="22" w:name="_Toc132624671"/>
      <w:r>
        <w:t>Beata Bolesławska-Lewandowska (IS PAN), Andrzej Panufnik w kręgu kultury brytyjskiej</w:t>
      </w:r>
      <w:bookmarkEnd w:id="22"/>
    </w:p>
    <w:p w:rsidR="00D05A0C" w:rsidRDefault="00D05A0C" w:rsidP="00D05A0C">
      <w:pPr>
        <w:jc w:val="both"/>
        <w:rPr>
          <w:lang w:eastAsia="pl-PL"/>
        </w:rPr>
      </w:pPr>
      <w:r>
        <w:rPr>
          <w:lang w:eastAsia="pl-PL"/>
        </w:rPr>
        <w:t>Andrzej Panufnik (1914-1991), od 1954 roku przebywający na emigracji w Wielkiej Brytanii, długo nie był obecny w kulturze muzycznej Polski. Do 1977 roku obowiązywał na jego nazwisko zapis cenzury, później trzeba było długich lat, by jego muzykę przybliżyć artystom i melomanom w Polsce. Dziś nie trzeba już nikogo przekonywać o przynależności Panufnika do grona najwybitniejszych twórców muzyki polskiej ubiegłego stulecia. O jego przywiązaniu do rodzimej tradycji, a także o utworach wyraźnie odwołujących się do polskości niejednokrotnie już mówiono i pisano (czyniła to także w swoich tekstach poświęconych Panufnikowi Beata Bolesławska-Lewandowska).</w:t>
      </w:r>
    </w:p>
    <w:p w:rsidR="00C37E18" w:rsidRDefault="00D05A0C" w:rsidP="00D05A0C">
      <w:pPr>
        <w:jc w:val="both"/>
        <w:rPr>
          <w:lang w:eastAsia="pl-PL"/>
        </w:rPr>
      </w:pPr>
      <w:r>
        <w:rPr>
          <w:lang w:eastAsia="pl-PL"/>
        </w:rPr>
        <w:t xml:space="preserve">Tym razem autorka proponuje odmienną perspektywę. Podczas wykładu przyjrzy się bliżej związkom Andrzeja Panufnika z kulturą brytyjską – zarówno w zakresie inspiracji twórczych, jak i jego wkładu w dziedzictwo kulturowe adoptowanej ojczyzny. W 1963 roku kompozytor założył rodzinę i do śmierci mieszkał w podlondyńskim </w:t>
      </w:r>
      <w:proofErr w:type="spellStart"/>
      <w:r>
        <w:rPr>
          <w:lang w:eastAsia="pl-PL"/>
        </w:rPr>
        <w:t>Twickenham</w:t>
      </w:r>
      <w:proofErr w:type="spellEnd"/>
      <w:r>
        <w:rPr>
          <w:lang w:eastAsia="pl-PL"/>
        </w:rPr>
        <w:t xml:space="preserve">. W 1991 został przez królową Elżbietę II uhonorowany tytułem szlacheckim Sir w uznaniu zasług dla kultury Wielkiej Brytanii. Czy i jak zatem wieloletnie życie w Anglii, rodzinna codzienność oraz kontakty z brytyjskim światem muzycznym wpłynęły na jego muzykę? Czy i na ile w odniesieniu do jego twórczości uzasadnione jest posługiwanie się terminami z zakresu badań nad transferem kultury bądź </w:t>
      </w:r>
      <w:proofErr w:type="spellStart"/>
      <w:r>
        <w:rPr>
          <w:lang w:eastAsia="pl-PL"/>
        </w:rPr>
        <w:t>transkulturowością</w:t>
      </w:r>
      <w:proofErr w:type="spellEnd"/>
      <w:r>
        <w:rPr>
          <w:lang w:eastAsia="pl-PL"/>
        </w:rPr>
        <w:t>? Na ile dorobek kompozytora wzbogaca kulturę każdego z krajów? Wykład będzie próbą odpowiedzi na tak postawione pytania.</w:t>
      </w:r>
    </w:p>
    <w:p w:rsidR="004E1C8A" w:rsidRDefault="004E1C8A" w:rsidP="004E1C8A">
      <w:pPr>
        <w:jc w:val="right"/>
        <w:rPr>
          <w:lang w:eastAsia="pl-PL"/>
        </w:rPr>
      </w:pPr>
      <w:r>
        <w:rPr>
          <w:lang w:eastAsia="pl-PL"/>
        </w:rPr>
        <w:t>(25 IV 2023)</w:t>
      </w:r>
    </w:p>
    <w:p w:rsidR="00EC7072" w:rsidRDefault="00EC7072" w:rsidP="000D0CD9">
      <w:pPr>
        <w:jc w:val="right"/>
      </w:pPr>
    </w:p>
    <w:p w:rsidR="00EC7072" w:rsidRPr="00EC7072" w:rsidRDefault="00EC7072" w:rsidP="001C5DE9">
      <w:pPr>
        <w:pStyle w:val="Styl1"/>
      </w:pPr>
      <w:bookmarkStart w:id="23" w:name="_Toc132624672"/>
      <w:r w:rsidRPr="00E14010">
        <w:t xml:space="preserve">Dorota </w:t>
      </w:r>
      <w:proofErr w:type="spellStart"/>
      <w:r w:rsidRPr="00E14010">
        <w:t>Piramidowicz</w:t>
      </w:r>
      <w:proofErr w:type="spellEnd"/>
      <w:r w:rsidR="0061638B" w:rsidRPr="00E14010">
        <w:t xml:space="preserve"> (IS PAN)</w:t>
      </w:r>
      <w:r w:rsidRPr="00E14010">
        <w:t>,</w:t>
      </w:r>
      <w:r w:rsidRPr="00EC7072">
        <w:t xml:space="preserve"> Zabytek - artefakt - dzieło sztuki</w:t>
      </w:r>
      <w:bookmarkEnd w:id="23"/>
    </w:p>
    <w:p w:rsidR="00EC7072" w:rsidRDefault="00EC7072" w:rsidP="000D0CD9">
      <w:pPr>
        <w:jc w:val="right"/>
        <w:rPr>
          <w:rFonts w:asciiTheme="majorHAnsi" w:hAnsiTheme="majorHAnsi" w:cstheme="majorHAnsi"/>
          <w:i/>
        </w:rPr>
      </w:pPr>
    </w:p>
    <w:p w:rsidR="00EC7072" w:rsidRPr="004E1C8A" w:rsidRDefault="00EC7072" w:rsidP="000D0CD9">
      <w:pPr>
        <w:jc w:val="right"/>
        <w:rPr>
          <w:rFonts w:cs="Calibri Light"/>
        </w:rPr>
      </w:pPr>
      <w:r w:rsidRPr="004E1C8A">
        <w:rPr>
          <w:rFonts w:cs="Calibri Light"/>
        </w:rPr>
        <w:t>(</w:t>
      </w:r>
      <w:r w:rsidR="004E1C8A" w:rsidRPr="004E1C8A">
        <w:rPr>
          <w:rFonts w:cs="Calibri Light"/>
        </w:rPr>
        <w:t>27</w:t>
      </w:r>
      <w:r w:rsidRPr="004E1C8A">
        <w:rPr>
          <w:rFonts w:cs="Calibri Light"/>
        </w:rPr>
        <w:t xml:space="preserve"> V</w:t>
      </w:r>
      <w:r w:rsidR="004E1C8A" w:rsidRPr="004E1C8A">
        <w:rPr>
          <w:rFonts w:cs="Calibri Light"/>
        </w:rPr>
        <w:t>I</w:t>
      </w:r>
      <w:r w:rsidRPr="004E1C8A">
        <w:rPr>
          <w:rFonts w:cs="Calibri Light"/>
        </w:rPr>
        <w:t xml:space="preserve"> 2023)</w:t>
      </w:r>
    </w:p>
    <w:p w:rsidR="00EC7072" w:rsidRPr="00EC7072" w:rsidRDefault="00EC7072" w:rsidP="000D0CD9">
      <w:pPr>
        <w:jc w:val="right"/>
      </w:pPr>
    </w:p>
    <w:sectPr w:rsidR="00EC7072" w:rsidRPr="00EC7072" w:rsidSect="0052196B">
      <w:headerReference w:type="default" r:id="rId8"/>
      <w:footerReference w:type="default" r:id="rId9"/>
      <w:pgSz w:w="11906" w:h="16838" w:code="9"/>
      <w:pgMar w:top="1440" w:right="1440" w:bottom="1440" w:left="1440" w:header="288"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168FB" w:rsidRDefault="003168FB">
      <w:pPr>
        <w:spacing w:line="240" w:lineRule="auto"/>
      </w:pPr>
      <w:r>
        <w:separator/>
      </w:r>
    </w:p>
  </w:endnote>
  <w:endnote w:type="continuationSeparator" w:id="0">
    <w:p w:rsidR="003168FB" w:rsidRDefault="003168FB">
      <w:pPr>
        <w:spacing w:line="240" w:lineRule="auto"/>
      </w:pPr>
      <w:r>
        <w:continuationSeparator/>
      </w:r>
    </w:p>
  </w:endnote>
  <w:endnote w:type="continuationNotice" w:id="1">
    <w:p w:rsidR="003168FB" w:rsidRDefault="003168FB">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Light">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A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Corbel-Bold">
    <w:altName w:val="Times New Roman"/>
    <w:panose1 w:val="00000000000000000000"/>
    <w:charset w:val="00"/>
    <w:family w:val="roman"/>
    <w:notTrueType/>
    <w:pitch w:val="default"/>
  </w:font>
  <w:font w:name="Corbel">
    <w:panose1 w:val="020B0503020204020204"/>
    <w:charset w:val="EE"/>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6B" w:rsidRDefault="0052196B">
    <w:pPr>
      <w:pBdr>
        <w:left w:val="single" w:sz="12" w:space="11" w:color="5B9BD5" w:themeColor="accent1"/>
      </w:pBdr>
      <w:tabs>
        <w:tab w:val="left" w:pos="622"/>
      </w:tabs>
      <w:rPr>
        <w:rFonts w:asciiTheme="majorHAnsi" w:eastAsiaTheme="majorEastAsia" w:hAnsiTheme="majorHAnsi" w:cstheme="majorBidi"/>
        <w:color w:val="2E74B5" w:themeColor="accent1" w:themeShade="BF"/>
        <w:sz w:val="26"/>
        <w:szCs w:val="26"/>
      </w:rPr>
    </w:pPr>
    <w:r>
      <w:rPr>
        <w:rFonts w:asciiTheme="majorHAnsi" w:eastAsiaTheme="majorEastAsia" w:hAnsiTheme="majorHAnsi" w:cstheme="majorBidi"/>
        <w:color w:val="2E74B5" w:themeColor="accent1" w:themeShade="BF"/>
        <w:sz w:val="26"/>
        <w:szCs w:val="26"/>
      </w:rPr>
      <w:fldChar w:fldCharType="begin"/>
    </w:r>
    <w:r>
      <w:rPr>
        <w:rFonts w:asciiTheme="majorHAnsi" w:eastAsiaTheme="majorEastAsia" w:hAnsiTheme="majorHAnsi" w:cstheme="majorBidi"/>
        <w:color w:val="2E74B5" w:themeColor="accent1" w:themeShade="BF"/>
        <w:sz w:val="26"/>
        <w:szCs w:val="26"/>
      </w:rPr>
      <w:instrText>PAGE   \* MERGEFORMAT</w:instrText>
    </w:r>
    <w:r>
      <w:rPr>
        <w:rFonts w:asciiTheme="majorHAnsi" w:eastAsiaTheme="majorEastAsia" w:hAnsiTheme="majorHAnsi" w:cstheme="majorBidi"/>
        <w:color w:val="2E74B5" w:themeColor="accent1" w:themeShade="BF"/>
        <w:sz w:val="26"/>
        <w:szCs w:val="26"/>
      </w:rPr>
      <w:fldChar w:fldCharType="separate"/>
    </w:r>
    <w:r w:rsidR="001C5DE9">
      <w:rPr>
        <w:rFonts w:asciiTheme="majorHAnsi" w:eastAsiaTheme="majorEastAsia" w:hAnsiTheme="majorHAnsi" w:cstheme="majorBidi"/>
        <w:noProof/>
        <w:color w:val="2E74B5" w:themeColor="accent1" w:themeShade="BF"/>
        <w:sz w:val="26"/>
        <w:szCs w:val="26"/>
      </w:rPr>
      <w:t>2</w:t>
    </w:r>
    <w:r>
      <w:rPr>
        <w:rFonts w:asciiTheme="majorHAnsi" w:eastAsiaTheme="majorEastAsia" w:hAnsiTheme="majorHAnsi" w:cstheme="majorBidi"/>
        <w:color w:val="2E74B5" w:themeColor="accent1" w:themeShade="BF"/>
        <w:sz w:val="26"/>
        <w:szCs w:val="26"/>
      </w:rPr>
      <w:fldChar w:fldCharType="end"/>
    </w:r>
  </w:p>
  <w:p w:rsidR="00742056" w:rsidRPr="00C70628" w:rsidRDefault="00742056">
    <w:pPr>
      <w:pStyle w:val="Stopka"/>
      <w:rPr>
        <w:noProof/>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168FB" w:rsidRDefault="003168FB">
      <w:pPr>
        <w:spacing w:line="240" w:lineRule="auto"/>
      </w:pPr>
      <w:r>
        <w:separator/>
      </w:r>
    </w:p>
  </w:footnote>
  <w:footnote w:type="continuationSeparator" w:id="0">
    <w:p w:rsidR="003168FB" w:rsidRDefault="003168FB">
      <w:pPr>
        <w:spacing w:line="240" w:lineRule="auto"/>
      </w:pPr>
      <w:r>
        <w:continuationSeparator/>
      </w:r>
    </w:p>
  </w:footnote>
  <w:footnote w:type="continuationNotice" w:id="1">
    <w:p w:rsidR="003168FB" w:rsidRDefault="003168FB">
      <w:pPr>
        <w:spacing w:before="0" w:line="240" w:lineRule="auto"/>
      </w:pP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2196B" w:rsidRDefault="003168FB">
    <w:pPr>
      <w:pStyle w:val="Nagwek"/>
      <w:jc w:val="right"/>
      <w:rPr>
        <w:color w:val="5B9BD5" w:themeColor="accent1"/>
      </w:rPr>
    </w:pPr>
    <w:sdt>
      <w:sdtPr>
        <w:rPr>
          <w:color w:val="5B9BD5" w:themeColor="accent1"/>
        </w:rPr>
        <w:alias w:val="Tytuł"/>
        <w:tag w:val=""/>
        <w:id w:val="664756013"/>
        <w:placeholder>
          <w:docPart w:val="58F32D9B0DFD4F11B0D5D52AD6B4B3A1"/>
        </w:placeholder>
        <w:dataBinding w:prefixMappings="xmlns:ns0='http://purl.org/dc/elements/1.1/' xmlns:ns1='http://schemas.openxmlformats.org/package/2006/metadata/core-properties' " w:xpath="/ns1:coreProperties[1]/ns0:title[1]" w:storeItemID="{6C3C8BC8-F283-45AE-878A-BAB7291924A1}"/>
        <w:text/>
      </w:sdtPr>
      <w:sdtEndPr/>
      <w:sdtContent>
        <w:r w:rsidR="0052196B" w:rsidRPr="0040436A">
          <w:rPr>
            <w:color w:val="5B9BD5" w:themeColor="accent1"/>
          </w:rPr>
          <w:t>Migracje artystyczne w XIX, XX i XXI wieku</w:t>
        </w:r>
      </w:sdtContent>
    </w:sdt>
    <w:r w:rsidR="0052196B">
      <w:rPr>
        <w:color w:val="5B9BD5" w:themeColor="accent1"/>
      </w:rPr>
      <w:t xml:space="preserve"> | </w:t>
    </w:r>
    <w:sdt>
      <w:sdtPr>
        <w:rPr>
          <w:color w:val="5B9BD5" w:themeColor="accent1"/>
        </w:rPr>
        <w:alias w:val="Autor"/>
        <w:tag w:val=""/>
        <w:id w:val="-1677181147"/>
        <w:placeholder>
          <w:docPart w:val="7DC5382A64CC48FB9AEB1417182BADA6"/>
        </w:placeholder>
        <w:showingPlcHdr/>
        <w:dataBinding w:prefixMappings="xmlns:ns0='http://purl.org/dc/elements/1.1/' xmlns:ns1='http://schemas.openxmlformats.org/package/2006/metadata/core-properties' " w:xpath="/ns1:coreProperties[1]/ns0:creator[1]" w:storeItemID="{6C3C8BC8-F283-45AE-878A-BAB7291924A1}"/>
        <w:text/>
      </w:sdtPr>
      <w:sdtEndPr/>
      <w:sdtContent>
        <w:r w:rsidR="00FC48C0">
          <w:t>[Nazwisko autora]</w:t>
        </w:r>
      </w:sdtContent>
    </w:sdt>
  </w:p>
  <w:p w:rsidR="0052196B" w:rsidRDefault="0052196B">
    <w:pPr>
      <w:pStyle w:val="Nagwek"/>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D5245F38"/>
    <w:lvl w:ilvl="0">
      <w:start w:val="1"/>
      <w:numFmt w:val="decimal"/>
      <w:pStyle w:val="Listanumerowana5"/>
      <w:lvlText w:val="%1."/>
      <w:lvlJc w:val="left"/>
      <w:pPr>
        <w:tabs>
          <w:tab w:val="num" w:pos="1800"/>
        </w:tabs>
        <w:ind w:left="1800" w:hanging="360"/>
      </w:pPr>
    </w:lvl>
  </w:abstractNum>
  <w:abstractNum w:abstractNumId="1" w15:restartNumberingAfterBreak="0">
    <w:nsid w:val="FFFFFF7D"/>
    <w:multiLevelType w:val="singleLevel"/>
    <w:tmpl w:val="8864F08A"/>
    <w:lvl w:ilvl="0">
      <w:start w:val="1"/>
      <w:numFmt w:val="decimal"/>
      <w:pStyle w:val="Listanumerowana4"/>
      <w:lvlText w:val="%1."/>
      <w:lvlJc w:val="left"/>
      <w:pPr>
        <w:tabs>
          <w:tab w:val="num" w:pos="1440"/>
        </w:tabs>
        <w:ind w:left="1440" w:hanging="360"/>
      </w:pPr>
    </w:lvl>
  </w:abstractNum>
  <w:abstractNum w:abstractNumId="2" w15:restartNumberingAfterBreak="0">
    <w:nsid w:val="FFFFFF7E"/>
    <w:multiLevelType w:val="singleLevel"/>
    <w:tmpl w:val="4B9C1270"/>
    <w:lvl w:ilvl="0">
      <w:start w:val="1"/>
      <w:numFmt w:val="decimal"/>
      <w:pStyle w:val="Listanumerowana3"/>
      <w:lvlText w:val="%1."/>
      <w:lvlJc w:val="left"/>
      <w:pPr>
        <w:tabs>
          <w:tab w:val="num" w:pos="1080"/>
        </w:tabs>
        <w:ind w:left="1080" w:hanging="360"/>
      </w:pPr>
    </w:lvl>
  </w:abstractNum>
  <w:abstractNum w:abstractNumId="3" w15:restartNumberingAfterBreak="0">
    <w:nsid w:val="FFFFFF7F"/>
    <w:multiLevelType w:val="singleLevel"/>
    <w:tmpl w:val="C6A42210"/>
    <w:lvl w:ilvl="0">
      <w:start w:val="1"/>
      <w:numFmt w:val="decimal"/>
      <w:pStyle w:val="Listanumerowana2"/>
      <w:lvlText w:val="%1."/>
      <w:lvlJc w:val="left"/>
      <w:pPr>
        <w:tabs>
          <w:tab w:val="num" w:pos="720"/>
        </w:tabs>
        <w:ind w:left="720" w:hanging="360"/>
      </w:pPr>
    </w:lvl>
  </w:abstractNum>
  <w:abstractNum w:abstractNumId="4" w15:restartNumberingAfterBreak="0">
    <w:nsid w:val="FFFFFF80"/>
    <w:multiLevelType w:val="singleLevel"/>
    <w:tmpl w:val="A72242BE"/>
    <w:lvl w:ilvl="0">
      <w:start w:val="1"/>
      <w:numFmt w:val="bullet"/>
      <w:pStyle w:val="Listapunktowana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E32A878"/>
    <w:lvl w:ilvl="0">
      <w:start w:val="1"/>
      <w:numFmt w:val="bullet"/>
      <w:pStyle w:val="Listapunktowana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1B85B80"/>
    <w:lvl w:ilvl="0">
      <w:start w:val="1"/>
      <w:numFmt w:val="bullet"/>
      <w:pStyle w:val="Listapunktowana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D6270F2"/>
    <w:lvl w:ilvl="0">
      <w:start w:val="1"/>
      <w:numFmt w:val="bullet"/>
      <w:pStyle w:val="Listapunktowana2"/>
      <w:lvlText w:val=""/>
      <w:lvlJc w:val="left"/>
      <w:pPr>
        <w:tabs>
          <w:tab w:val="num" w:pos="720"/>
        </w:tabs>
        <w:ind w:left="720" w:hanging="360"/>
      </w:pPr>
      <w:rPr>
        <w:rFonts w:ascii="Symbol" w:hAnsi="Symbol" w:hint="default"/>
      </w:rPr>
    </w:lvl>
  </w:abstractNum>
  <w:abstractNum w:abstractNumId="8" w15:restartNumberingAfterBreak="0">
    <w:nsid w:val="FFFFFF89"/>
    <w:multiLevelType w:val="singleLevel"/>
    <w:tmpl w:val="907A257A"/>
    <w:lvl w:ilvl="0">
      <w:start w:val="1"/>
      <w:numFmt w:val="bullet"/>
      <w:pStyle w:val="Listapunktowana"/>
      <w:lvlText w:val=""/>
      <w:lvlJc w:val="left"/>
      <w:pPr>
        <w:tabs>
          <w:tab w:val="num" w:pos="360"/>
        </w:tabs>
        <w:ind w:left="360" w:hanging="360"/>
      </w:pPr>
      <w:rPr>
        <w:rFonts w:ascii="Symbol" w:hAnsi="Symbol" w:hint="default"/>
      </w:rPr>
    </w:lvl>
  </w:abstractNum>
  <w:abstractNum w:abstractNumId="9" w15:restartNumberingAfterBreak="0">
    <w:nsid w:val="03E17484"/>
    <w:multiLevelType w:val="multilevel"/>
    <w:tmpl w:val="8BFCD4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42D72B8"/>
    <w:multiLevelType w:val="hybridMultilevel"/>
    <w:tmpl w:val="B2BA0D0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6D24B74"/>
    <w:multiLevelType w:val="multilevel"/>
    <w:tmpl w:val="EBB2B80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3411C1C"/>
    <w:multiLevelType w:val="multilevel"/>
    <w:tmpl w:val="0409001F"/>
    <w:styleLink w:val="111111"/>
    <w:lvl w:ilvl="0">
      <w:start w:val="1"/>
      <w:numFmt w:val="decimal"/>
      <w:lvlText w:val="%1."/>
      <w:lvlJc w:val="left"/>
      <w:pPr>
        <w:ind w:left="360" w:hanging="360"/>
      </w:pPr>
      <w:rPr>
        <w:rFonts w:ascii="Times New Roman" w:hAnsi="Times New Roman" w:cs="Times New Roman"/>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41E77534"/>
    <w:multiLevelType w:val="hybridMultilevel"/>
    <w:tmpl w:val="49827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AF656CA"/>
    <w:multiLevelType w:val="hybridMultilevel"/>
    <w:tmpl w:val="1C0679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46E0D25"/>
    <w:multiLevelType w:val="multilevel"/>
    <w:tmpl w:val="0409001D"/>
    <w:styleLink w:val="1ai"/>
    <w:lvl w:ilvl="0">
      <w:start w:val="1"/>
      <w:numFmt w:val="decimal"/>
      <w:lvlText w:val="%1)"/>
      <w:lvlJc w:val="left"/>
      <w:pPr>
        <w:ind w:left="360" w:hanging="360"/>
      </w:pPr>
      <w:rPr>
        <w:rFonts w:ascii="Times New Roman" w:hAnsi="Times New Roman" w:cs="Times New Roman"/>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6A2A268C"/>
    <w:multiLevelType w:val="multilevel"/>
    <w:tmpl w:val="EE607F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1243D5"/>
    <w:multiLevelType w:val="multilevel"/>
    <w:tmpl w:val="224042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7A4C77C6"/>
    <w:multiLevelType w:val="multilevel"/>
    <w:tmpl w:val="FA005712"/>
    <w:lvl w:ilvl="0">
      <w:start w:val="1"/>
      <w:numFmt w:val="decimal"/>
      <w:pStyle w:val="Listanumerowana"/>
      <w:lvlText w:val="%1."/>
      <w:lvlJc w:val="left"/>
      <w:pPr>
        <w:ind w:left="792" w:hanging="360"/>
      </w:pPr>
      <w:rPr>
        <w:rFonts w:hint="default"/>
        <w:b/>
        <w:color w:val="2B579A"/>
        <w:sz w:val="28"/>
        <w:szCs w:val="28"/>
      </w:rPr>
    </w:lvl>
    <w:lvl w:ilvl="1">
      <w:start w:val="1"/>
      <w:numFmt w:val="lowerLetter"/>
      <w:lvlText w:val="%2."/>
      <w:lvlJc w:val="left"/>
      <w:pPr>
        <w:ind w:left="1512" w:hanging="360"/>
      </w:pPr>
      <w:rPr>
        <w:rFonts w:hint="default"/>
      </w:rPr>
    </w:lvl>
    <w:lvl w:ilvl="2">
      <w:start w:val="1"/>
      <w:numFmt w:val="lowerRoman"/>
      <w:lvlText w:val="%3."/>
      <w:lvlJc w:val="right"/>
      <w:pPr>
        <w:ind w:left="2232" w:hanging="360"/>
      </w:pPr>
      <w:rPr>
        <w:rFonts w:hint="default"/>
      </w:rPr>
    </w:lvl>
    <w:lvl w:ilvl="3">
      <w:start w:val="1"/>
      <w:numFmt w:val="decimal"/>
      <w:lvlText w:val="%4."/>
      <w:lvlJc w:val="left"/>
      <w:pPr>
        <w:ind w:left="2952" w:hanging="360"/>
      </w:pPr>
      <w:rPr>
        <w:rFonts w:hint="default"/>
      </w:rPr>
    </w:lvl>
    <w:lvl w:ilvl="4">
      <w:start w:val="1"/>
      <w:numFmt w:val="lowerLetter"/>
      <w:lvlText w:val="%5."/>
      <w:lvlJc w:val="left"/>
      <w:pPr>
        <w:ind w:left="3672" w:hanging="360"/>
      </w:pPr>
      <w:rPr>
        <w:rFonts w:hint="default"/>
      </w:rPr>
    </w:lvl>
    <w:lvl w:ilvl="5">
      <w:start w:val="1"/>
      <w:numFmt w:val="lowerRoman"/>
      <w:lvlText w:val="%6."/>
      <w:lvlJc w:val="right"/>
      <w:pPr>
        <w:ind w:left="4392" w:hanging="360"/>
      </w:pPr>
      <w:rPr>
        <w:rFonts w:hint="default"/>
      </w:rPr>
    </w:lvl>
    <w:lvl w:ilvl="6">
      <w:start w:val="1"/>
      <w:numFmt w:val="decimal"/>
      <w:lvlText w:val="%7."/>
      <w:lvlJc w:val="left"/>
      <w:pPr>
        <w:ind w:left="5112" w:hanging="360"/>
      </w:pPr>
      <w:rPr>
        <w:rFonts w:hint="default"/>
      </w:rPr>
    </w:lvl>
    <w:lvl w:ilvl="7">
      <w:start w:val="1"/>
      <w:numFmt w:val="lowerLetter"/>
      <w:lvlText w:val="%8."/>
      <w:lvlJc w:val="left"/>
      <w:pPr>
        <w:ind w:left="5832" w:hanging="360"/>
      </w:pPr>
      <w:rPr>
        <w:rFonts w:hint="default"/>
      </w:rPr>
    </w:lvl>
    <w:lvl w:ilvl="8">
      <w:start w:val="1"/>
      <w:numFmt w:val="lowerRoman"/>
      <w:lvlText w:val="%9."/>
      <w:lvlJc w:val="right"/>
      <w:pPr>
        <w:ind w:left="6552" w:hanging="360"/>
      </w:pPr>
      <w:rPr>
        <w:rFonts w:hint="default"/>
      </w:rPr>
    </w:lvl>
  </w:abstractNum>
  <w:abstractNum w:abstractNumId="19" w15:restartNumberingAfterBreak="0">
    <w:nsid w:val="7AE569B2"/>
    <w:multiLevelType w:val="multilevel"/>
    <w:tmpl w:val="04090023"/>
    <w:styleLink w:val="Artykusekcja"/>
    <w:lvl w:ilvl="0">
      <w:start w:val="1"/>
      <w:numFmt w:val="upperRoman"/>
      <w:lvlText w:val="Article %1."/>
      <w:lvlJc w:val="left"/>
      <w:pPr>
        <w:ind w:left="0" w:firstLine="0"/>
      </w:pPr>
      <w:rPr>
        <w:rFonts w:ascii="Times New Roman" w:hAnsi="Times New Roman" w:cs="Times New Roman"/>
      </w:r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7C226EBA"/>
    <w:multiLevelType w:val="multilevel"/>
    <w:tmpl w:val="4E58EA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8"/>
  </w:num>
  <w:num w:numId="2">
    <w:abstractNumId w:val="18"/>
    <w:lvlOverride w:ilvl="0">
      <w:startOverride w:val="1"/>
    </w:lvlOverride>
  </w:num>
  <w:num w:numId="3">
    <w:abstractNumId w:val="18"/>
  </w:num>
  <w:num w:numId="4">
    <w:abstractNumId w:val="18"/>
    <w:lvlOverride w:ilvl="0">
      <w:startOverride w:val="1"/>
    </w:lvlOverride>
  </w:num>
  <w:num w:numId="5">
    <w:abstractNumId w:val="8"/>
  </w:num>
  <w:num w:numId="6">
    <w:abstractNumId w:val="18"/>
    <w:lvlOverride w:ilvl="0">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
  </w:num>
  <w:num w:numId="12">
    <w:abstractNumId w:val="6"/>
  </w:num>
  <w:num w:numId="13">
    <w:abstractNumId w:val="5"/>
  </w:num>
  <w:num w:numId="14">
    <w:abstractNumId w:val="4"/>
  </w:num>
  <w:num w:numId="15">
    <w:abstractNumId w:val="3"/>
  </w:num>
  <w:num w:numId="16">
    <w:abstractNumId w:val="2"/>
  </w:num>
  <w:num w:numId="17">
    <w:abstractNumId w:val="1"/>
  </w:num>
  <w:num w:numId="18">
    <w:abstractNumId w:val="0"/>
  </w:num>
  <w:num w:numId="19">
    <w:abstractNumId w:val="20"/>
  </w:num>
  <w:num w:numId="20">
    <w:abstractNumId w:val="9"/>
  </w:num>
  <w:num w:numId="21">
    <w:abstractNumId w:val="17"/>
  </w:num>
  <w:num w:numId="22">
    <w:abstractNumId w:val="16"/>
  </w:num>
  <w:num w:numId="23">
    <w:abstractNumId w:val="14"/>
  </w:num>
  <w:num w:numId="24">
    <w:abstractNumId w:val="13"/>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2"/>
  </w:num>
  <w:num w:numId="35">
    <w:abstractNumId w:val="15"/>
  </w:num>
  <w:num w:numId="36">
    <w:abstractNumId w:val="19"/>
  </w:num>
  <w:num w:numId="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4"/>
  <w:removePersonalInformation/>
  <w:removeDateAndTime/>
  <w:activeWritingStyle w:appName="MSWord" w:lang="en-US" w:vendorID="64" w:dllVersion="6" w:nlCheck="1" w:checkStyle="1"/>
  <w:activeWritingStyle w:appName="MSWord" w:lang="en-US" w:vendorID="64" w:dllVersion="0" w:nlCheck="1" w:checkStyle="0"/>
  <w:activeWritingStyle w:appName="MSWord" w:lang="en-US" w:vendorID="64" w:dllVersion="4096" w:nlCheck="1" w:checkStyle="0"/>
  <w:activeWritingStyle w:appName="MSWord" w:lang="pl-PL" w:vendorID="64" w:dllVersion="0" w:nlCheck="1" w:checkStyle="0"/>
  <w:proofState w:spelling="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27454"/>
    <w:rsid w:val="00016748"/>
    <w:rsid w:val="0006567E"/>
    <w:rsid w:val="000760DB"/>
    <w:rsid w:val="00084476"/>
    <w:rsid w:val="000D0CD9"/>
    <w:rsid w:val="000E313F"/>
    <w:rsid w:val="000F00E7"/>
    <w:rsid w:val="00106375"/>
    <w:rsid w:val="001574A0"/>
    <w:rsid w:val="0016766E"/>
    <w:rsid w:val="00170063"/>
    <w:rsid w:val="00175643"/>
    <w:rsid w:val="00187FC9"/>
    <w:rsid w:val="001B2338"/>
    <w:rsid w:val="001C5DE9"/>
    <w:rsid w:val="002061A9"/>
    <w:rsid w:val="00217B64"/>
    <w:rsid w:val="00235579"/>
    <w:rsid w:val="00257FAA"/>
    <w:rsid w:val="00263938"/>
    <w:rsid w:val="002E78EB"/>
    <w:rsid w:val="002F25A8"/>
    <w:rsid w:val="003168FB"/>
    <w:rsid w:val="003407A9"/>
    <w:rsid w:val="00340DC9"/>
    <w:rsid w:val="00350BD5"/>
    <w:rsid w:val="003B1CFF"/>
    <w:rsid w:val="004041B3"/>
    <w:rsid w:val="00423585"/>
    <w:rsid w:val="004406BA"/>
    <w:rsid w:val="00444F02"/>
    <w:rsid w:val="00461760"/>
    <w:rsid w:val="00490CC6"/>
    <w:rsid w:val="004B1F9B"/>
    <w:rsid w:val="004E1C8A"/>
    <w:rsid w:val="004F05F9"/>
    <w:rsid w:val="004F5368"/>
    <w:rsid w:val="004F6481"/>
    <w:rsid w:val="0052196B"/>
    <w:rsid w:val="00546E24"/>
    <w:rsid w:val="005509B2"/>
    <w:rsid w:val="005556DB"/>
    <w:rsid w:val="005B7585"/>
    <w:rsid w:val="005C6D45"/>
    <w:rsid w:val="005D58F7"/>
    <w:rsid w:val="0061638B"/>
    <w:rsid w:val="00617D63"/>
    <w:rsid w:val="00625976"/>
    <w:rsid w:val="00627454"/>
    <w:rsid w:val="00643D1A"/>
    <w:rsid w:val="00662706"/>
    <w:rsid w:val="00674588"/>
    <w:rsid w:val="006A7B57"/>
    <w:rsid w:val="006D44C5"/>
    <w:rsid w:val="00712217"/>
    <w:rsid w:val="00713672"/>
    <w:rsid w:val="0073562D"/>
    <w:rsid w:val="00742056"/>
    <w:rsid w:val="007430A8"/>
    <w:rsid w:val="00794C12"/>
    <w:rsid w:val="007B07DE"/>
    <w:rsid w:val="008270A2"/>
    <w:rsid w:val="00827F26"/>
    <w:rsid w:val="00853F77"/>
    <w:rsid w:val="00863E2E"/>
    <w:rsid w:val="00885CE1"/>
    <w:rsid w:val="008907FF"/>
    <w:rsid w:val="00895090"/>
    <w:rsid w:val="008B696C"/>
    <w:rsid w:val="008B6BEE"/>
    <w:rsid w:val="008F78D7"/>
    <w:rsid w:val="009200C1"/>
    <w:rsid w:val="00980085"/>
    <w:rsid w:val="00997127"/>
    <w:rsid w:val="009D216F"/>
    <w:rsid w:val="009D3248"/>
    <w:rsid w:val="00A10689"/>
    <w:rsid w:val="00A65E8A"/>
    <w:rsid w:val="00A87896"/>
    <w:rsid w:val="00AC1EE7"/>
    <w:rsid w:val="00AC2972"/>
    <w:rsid w:val="00B650C6"/>
    <w:rsid w:val="00B9418D"/>
    <w:rsid w:val="00BA63C2"/>
    <w:rsid w:val="00BC6939"/>
    <w:rsid w:val="00BD0BC4"/>
    <w:rsid w:val="00BE1875"/>
    <w:rsid w:val="00BE45C8"/>
    <w:rsid w:val="00BF2331"/>
    <w:rsid w:val="00BF7463"/>
    <w:rsid w:val="00C05754"/>
    <w:rsid w:val="00C30889"/>
    <w:rsid w:val="00C37E18"/>
    <w:rsid w:val="00C417BF"/>
    <w:rsid w:val="00C70628"/>
    <w:rsid w:val="00C90A2E"/>
    <w:rsid w:val="00C91943"/>
    <w:rsid w:val="00CC5861"/>
    <w:rsid w:val="00CD430C"/>
    <w:rsid w:val="00D05A0C"/>
    <w:rsid w:val="00D30B81"/>
    <w:rsid w:val="00D3649E"/>
    <w:rsid w:val="00D65327"/>
    <w:rsid w:val="00DF0FDA"/>
    <w:rsid w:val="00E14010"/>
    <w:rsid w:val="00E142DA"/>
    <w:rsid w:val="00E16F51"/>
    <w:rsid w:val="00E42184"/>
    <w:rsid w:val="00E8361C"/>
    <w:rsid w:val="00EB0B6E"/>
    <w:rsid w:val="00EC7072"/>
    <w:rsid w:val="00EE1C14"/>
    <w:rsid w:val="00EE70C1"/>
    <w:rsid w:val="00F169E1"/>
    <w:rsid w:val="00F74E8F"/>
    <w:rsid w:val="00F77B79"/>
    <w:rsid w:val="00F866A8"/>
    <w:rsid w:val="00FB35C9"/>
    <w:rsid w:val="00FB5B59"/>
    <w:rsid w:val="00FC318F"/>
    <w:rsid w:val="00FC48C0"/>
    <w:rsid w:val="00FD1D7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E38481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Segoe UI" w:eastAsia="Segoe UI" w:hAnsi="Segoe UI" w:cs="Times New Roman"/>
        <w:lang w:val="pl-PL" w:eastAsia="pl-PL" w:bidi="ar-SA"/>
      </w:rPr>
    </w:rPrDefault>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 w:unhideWhenUsed="1" w:qFormat="1"/>
    <w:lsdException w:name="heading 6" w:semiHidden="1" w:uiPriority="1" w:unhideWhenUsed="1" w:qFormat="1"/>
    <w:lsdException w:name="heading 7" w:semiHidden="1" w:uiPriority="1" w:unhideWhenUsed="1" w:qFormat="1"/>
    <w:lsdException w:name="heading 8" w:semiHidden="1" w:uiPriority="1" w:unhideWhenUsed="1" w:qFormat="1"/>
    <w:lsdException w:name="heading 9" w:semiHidden="1" w:uiPriority="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uiPriority="11" w:qFormat="1"/>
    <w:lsdException w:name="List Number" w:semiHidden="1" w:uiPriority="10"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2"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4"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semiHidden="1" w:uiPriority="29" w:unhideWhenUsed="1" w:qFormat="1"/>
    <w:lsdException w:name="Intense Quote" w:semiHidden="1" w:uiPriority="30" w:unhideWhenUsed="1"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qFormat="1"/>
    <w:lsdException w:name="Intense Emphasis" w:uiPriority="21" w:qFormat="1"/>
    <w:lsdException w:name="Subtle Reference" w:semiHidden="1" w:uiPriority="31" w:unhideWhenUsed="1" w:qFormat="1"/>
    <w:lsdException w:name="Intense Reference" w:semiHidden="1" w:uiPriority="32" w:unhideWhenUsed="1" w:qFormat="1"/>
    <w:lsdException w:name="Book Title" w:semiHidden="1" w:uiPriority="33" w:unhideWhenUsed="1"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D430C"/>
    <w:pPr>
      <w:spacing w:before="160" w:line="228" w:lineRule="auto"/>
    </w:pPr>
    <w:rPr>
      <w:rFonts w:ascii="Calibri Light" w:hAnsi="Calibri Light" w:cs="Segoe UI"/>
      <w:sz w:val="22"/>
      <w:szCs w:val="22"/>
      <w:lang w:eastAsia="en-US"/>
    </w:rPr>
  </w:style>
  <w:style w:type="paragraph" w:styleId="Nagwek1">
    <w:name w:val="heading 1"/>
    <w:basedOn w:val="Normalny"/>
    <w:link w:val="Nagwek1Znak"/>
    <w:uiPriority w:val="1"/>
    <w:qFormat/>
    <w:rsid w:val="00CD430C"/>
    <w:pPr>
      <w:keepNext/>
      <w:keepLines/>
      <w:pBdr>
        <w:bottom w:val="single" w:sz="18" w:space="1" w:color="2B579A"/>
      </w:pBdr>
      <w:spacing w:before="360" w:after="240" w:line="240" w:lineRule="auto"/>
      <w:contextualSpacing/>
      <w:outlineLvl w:val="0"/>
    </w:pPr>
    <w:rPr>
      <w:rFonts w:ascii="Segoe UI Light" w:eastAsia="MS Gothic" w:hAnsi="Segoe UI Light" w:cs="Segoe UI Light"/>
      <w:i/>
      <w:color w:val="3B3838"/>
      <w:kern w:val="28"/>
      <w:sz w:val="28"/>
      <w:szCs w:val="52"/>
    </w:rPr>
  </w:style>
  <w:style w:type="paragraph" w:styleId="Nagwek2">
    <w:name w:val="heading 2"/>
    <w:basedOn w:val="Normalny"/>
    <w:next w:val="Normalny"/>
    <w:link w:val="Nagwek2Znak"/>
    <w:uiPriority w:val="1"/>
    <w:unhideWhenUsed/>
    <w:qFormat/>
    <w:rsid w:val="00C70628"/>
    <w:pPr>
      <w:keepNext/>
      <w:keepLines/>
      <w:spacing w:before="120"/>
      <w:outlineLvl w:val="1"/>
    </w:pPr>
    <w:rPr>
      <w:rFonts w:ascii="Segoe UI Light" w:eastAsia="MS Gothic" w:hAnsi="Segoe UI Light" w:cs="Segoe UI Light"/>
      <w:color w:val="1F4E79"/>
      <w:sz w:val="36"/>
      <w:szCs w:val="26"/>
    </w:rPr>
  </w:style>
  <w:style w:type="paragraph" w:styleId="Nagwek3">
    <w:name w:val="heading 3"/>
    <w:basedOn w:val="Normalny"/>
    <w:next w:val="Normalny"/>
    <w:link w:val="Nagwek3Znak"/>
    <w:uiPriority w:val="1"/>
    <w:unhideWhenUsed/>
    <w:qFormat/>
    <w:rsid w:val="00C70628"/>
    <w:pPr>
      <w:keepNext/>
      <w:keepLines/>
      <w:spacing w:before="40"/>
      <w:outlineLvl w:val="2"/>
    </w:pPr>
    <w:rPr>
      <w:rFonts w:ascii="Segoe UI Light" w:eastAsia="MS Gothic" w:hAnsi="Segoe UI Light" w:cs="Segoe UI Light"/>
      <w:color w:val="1F4D78"/>
      <w:sz w:val="24"/>
      <w:szCs w:val="24"/>
    </w:rPr>
  </w:style>
  <w:style w:type="paragraph" w:styleId="Nagwek4">
    <w:name w:val="heading 4"/>
    <w:basedOn w:val="Normalny"/>
    <w:next w:val="Normalny"/>
    <w:link w:val="Nagwek4Znak"/>
    <w:uiPriority w:val="1"/>
    <w:unhideWhenUsed/>
    <w:qFormat/>
    <w:rsid w:val="00C70628"/>
    <w:pPr>
      <w:keepNext/>
      <w:keepLines/>
      <w:spacing w:before="40"/>
      <w:outlineLvl w:val="3"/>
    </w:pPr>
    <w:rPr>
      <w:rFonts w:ascii="Segoe UI Light" w:eastAsia="MS Gothic" w:hAnsi="Segoe UI Light" w:cs="Segoe UI Light"/>
      <w:i/>
      <w:iCs/>
      <w:color w:val="1F4E79"/>
    </w:rPr>
  </w:style>
  <w:style w:type="paragraph" w:styleId="Nagwek5">
    <w:name w:val="heading 5"/>
    <w:basedOn w:val="Normalny"/>
    <w:next w:val="Normalny"/>
    <w:link w:val="Nagwek5Znak"/>
    <w:uiPriority w:val="1"/>
    <w:unhideWhenUsed/>
    <w:qFormat/>
    <w:rsid w:val="00C70628"/>
    <w:pPr>
      <w:keepNext/>
      <w:keepLines/>
      <w:spacing w:before="40"/>
      <w:outlineLvl w:val="4"/>
    </w:pPr>
    <w:rPr>
      <w:rFonts w:ascii="Segoe UI Light" w:eastAsia="MS Gothic" w:hAnsi="Segoe UI Light" w:cs="Segoe UI Light"/>
      <w:color w:val="1F4E79"/>
    </w:rPr>
  </w:style>
  <w:style w:type="paragraph" w:styleId="Nagwek6">
    <w:name w:val="heading 6"/>
    <w:basedOn w:val="Normalny"/>
    <w:next w:val="Normalny"/>
    <w:link w:val="Nagwek6Znak"/>
    <w:uiPriority w:val="1"/>
    <w:unhideWhenUsed/>
    <w:qFormat/>
    <w:rsid w:val="00C70628"/>
    <w:pPr>
      <w:keepNext/>
      <w:keepLines/>
      <w:spacing w:before="40"/>
      <w:outlineLvl w:val="5"/>
    </w:pPr>
    <w:rPr>
      <w:rFonts w:ascii="Segoe UI Light" w:eastAsia="MS Gothic" w:hAnsi="Segoe UI Light" w:cs="Segoe UI Light"/>
      <w:b/>
      <w:color w:val="1F4D78"/>
    </w:rPr>
  </w:style>
  <w:style w:type="paragraph" w:styleId="Nagwek7">
    <w:name w:val="heading 7"/>
    <w:basedOn w:val="Normalny"/>
    <w:next w:val="Normalny"/>
    <w:link w:val="Nagwek7Znak"/>
    <w:uiPriority w:val="1"/>
    <w:unhideWhenUsed/>
    <w:qFormat/>
    <w:rsid w:val="00C70628"/>
    <w:pPr>
      <w:keepNext/>
      <w:keepLines/>
      <w:spacing w:before="40"/>
      <w:outlineLvl w:val="6"/>
    </w:pPr>
    <w:rPr>
      <w:rFonts w:ascii="Segoe UI Light" w:eastAsia="MS Gothic" w:hAnsi="Segoe UI Light" w:cs="Segoe UI Light"/>
      <w:i/>
      <w:iCs/>
      <w:color w:val="1F4D78"/>
    </w:rPr>
  </w:style>
  <w:style w:type="paragraph" w:styleId="Nagwek8">
    <w:name w:val="heading 8"/>
    <w:basedOn w:val="Normalny"/>
    <w:next w:val="Normalny"/>
    <w:link w:val="Nagwek8Znak"/>
    <w:uiPriority w:val="1"/>
    <w:unhideWhenUsed/>
    <w:qFormat/>
    <w:rsid w:val="00C70628"/>
    <w:pPr>
      <w:keepNext/>
      <w:keepLines/>
      <w:spacing w:before="40"/>
      <w:outlineLvl w:val="7"/>
    </w:pPr>
    <w:rPr>
      <w:rFonts w:ascii="Segoe UI Light" w:eastAsia="MS Gothic" w:hAnsi="Segoe UI Light" w:cs="Segoe UI Light"/>
      <w:color w:val="272727"/>
      <w:szCs w:val="21"/>
    </w:rPr>
  </w:style>
  <w:style w:type="paragraph" w:styleId="Nagwek9">
    <w:name w:val="heading 9"/>
    <w:basedOn w:val="Normalny"/>
    <w:next w:val="Normalny"/>
    <w:link w:val="Nagwek9Znak"/>
    <w:uiPriority w:val="1"/>
    <w:unhideWhenUsed/>
    <w:qFormat/>
    <w:rsid w:val="00C70628"/>
    <w:pPr>
      <w:keepNext/>
      <w:keepLines/>
      <w:spacing w:before="40"/>
      <w:outlineLvl w:val="8"/>
    </w:pPr>
    <w:rPr>
      <w:rFonts w:ascii="Segoe UI Light" w:eastAsia="MS Gothic" w:hAnsi="Segoe UI Light" w:cs="Segoe UI Light"/>
      <w:i/>
      <w:iCs/>
      <w:color w:val="272727"/>
      <w:szCs w:val="21"/>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link w:val="Nagwek1"/>
    <w:uiPriority w:val="1"/>
    <w:rsid w:val="00CD430C"/>
    <w:rPr>
      <w:rFonts w:ascii="Segoe UI Light" w:eastAsia="MS Gothic" w:hAnsi="Segoe UI Light" w:cs="Segoe UI Light"/>
      <w:i/>
      <w:color w:val="3B3838"/>
      <w:kern w:val="28"/>
      <w:sz w:val="28"/>
      <w:szCs w:val="52"/>
      <w:lang w:eastAsia="en-US"/>
    </w:rPr>
  </w:style>
  <w:style w:type="paragraph" w:styleId="Nagwek">
    <w:name w:val="header"/>
    <w:basedOn w:val="Normalny"/>
    <w:link w:val="NagwekZnak"/>
    <w:uiPriority w:val="99"/>
    <w:unhideWhenUsed/>
    <w:rsid w:val="00C70628"/>
    <w:pPr>
      <w:spacing w:line="240" w:lineRule="auto"/>
    </w:pPr>
    <w:rPr>
      <w:rFonts w:eastAsia="MS Mincho"/>
      <w:color w:val="3B3838"/>
      <w:sz w:val="24"/>
    </w:rPr>
  </w:style>
  <w:style w:type="character" w:customStyle="1" w:styleId="NagwekZnak">
    <w:name w:val="Nagłówek Znak"/>
    <w:link w:val="Nagwek"/>
    <w:uiPriority w:val="99"/>
    <w:rsid w:val="00C70628"/>
    <w:rPr>
      <w:rFonts w:ascii="Segoe UI" w:eastAsia="MS Mincho" w:hAnsi="Segoe UI" w:cs="Segoe UI"/>
      <w:color w:val="3B3838"/>
      <w:sz w:val="24"/>
    </w:rPr>
  </w:style>
  <w:style w:type="paragraph" w:styleId="Listanumerowana">
    <w:name w:val="List Number"/>
    <w:basedOn w:val="Normalny"/>
    <w:link w:val="ListanumerowanaZnak"/>
    <w:uiPriority w:val="10"/>
    <w:qFormat/>
    <w:rsid w:val="00C70628"/>
    <w:pPr>
      <w:numPr>
        <w:numId w:val="3"/>
      </w:numPr>
    </w:pPr>
    <w:rPr>
      <w:rFonts w:eastAsia="MS Mincho"/>
      <w:color w:val="3B3838"/>
    </w:rPr>
  </w:style>
  <w:style w:type="paragraph" w:styleId="Tytu">
    <w:name w:val="Title"/>
    <w:basedOn w:val="Normalny"/>
    <w:link w:val="TytuZnak"/>
    <w:uiPriority w:val="1"/>
    <w:qFormat/>
    <w:rsid w:val="00C70628"/>
    <w:pPr>
      <w:pBdr>
        <w:left w:val="single" w:sz="48" w:space="0" w:color="2B579A"/>
      </w:pBdr>
      <w:shd w:val="clear" w:color="auto" w:fill="2B579A"/>
      <w:spacing w:before="0" w:line="240" w:lineRule="auto"/>
      <w:ind w:left="144"/>
      <w:contextualSpacing/>
    </w:pPr>
    <w:rPr>
      <w:rFonts w:ascii="Segoe UI Light" w:eastAsia="MS Gothic" w:hAnsi="Segoe UI Light" w:cs="Segoe UI Light"/>
      <w:color w:val="FFFFFF"/>
      <w:spacing w:val="-10"/>
      <w:kern w:val="28"/>
      <w:sz w:val="96"/>
      <w:szCs w:val="56"/>
    </w:rPr>
  </w:style>
  <w:style w:type="character" w:customStyle="1" w:styleId="TytuZnak">
    <w:name w:val="Tytuł Znak"/>
    <w:link w:val="Tytu"/>
    <w:uiPriority w:val="1"/>
    <w:rsid w:val="00C70628"/>
    <w:rPr>
      <w:rFonts w:ascii="Segoe UI Light" w:eastAsia="MS Gothic" w:hAnsi="Segoe UI Light" w:cs="Segoe UI Light"/>
      <w:color w:val="FFFFFF"/>
      <w:spacing w:val="-10"/>
      <w:kern w:val="28"/>
      <w:sz w:val="96"/>
      <w:szCs w:val="56"/>
      <w:shd w:val="clear" w:color="auto" w:fill="2B579A"/>
    </w:rPr>
  </w:style>
  <w:style w:type="paragraph" w:styleId="Podtytu">
    <w:name w:val="Subtitle"/>
    <w:basedOn w:val="Normalny"/>
    <w:next w:val="Normalny"/>
    <w:link w:val="PodtytuZnak"/>
    <w:uiPriority w:val="2"/>
    <w:qFormat/>
    <w:rsid w:val="00C70628"/>
    <w:pPr>
      <w:numPr>
        <w:ilvl w:val="1"/>
      </w:numPr>
      <w:pBdr>
        <w:left w:val="single" w:sz="48" w:space="0" w:color="2B579A"/>
        <w:bottom w:val="single" w:sz="48" w:space="1" w:color="2B579A"/>
      </w:pBdr>
      <w:shd w:val="clear" w:color="auto" w:fill="2B579A"/>
      <w:spacing w:before="0" w:after="120"/>
      <w:ind w:left="144"/>
      <w:contextualSpacing/>
    </w:pPr>
    <w:rPr>
      <w:rFonts w:ascii="Segoe UI Light" w:eastAsia="MS Mincho" w:hAnsi="Segoe UI Light" w:cs="Segoe UI Light"/>
      <w:color w:val="FFFFFF"/>
      <w:spacing w:val="15"/>
      <w:sz w:val="36"/>
    </w:rPr>
  </w:style>
  <w:style w:type="character" w:customStyle="1" w:styleId="PodtytuZnak">
    <w:name w:val="Podtytuł Znak"/>
    <w:link w:val="Podtytu"/>
    <w:uiPriority w:val="2"/>
    <w:rsid w:val="00C70628"/>
    <w:rPr>
      <w:rFonts w:ascii="Segoe UI Light" w:eastAsia="MS Mincho" w:hAnsi="Segoe UI Light" w:cs="Segoe UI Light"/>
      <w:color w:val="FFFFFF"/>
      <w:spacing w:val="15"/>
      <w:sz w:val="36"/>
      <w:shd w:val="clear" w:color="auto" w:fill="2B579A"/>
    </w:rPr>
  </w:style>
  <w:style w:type="table" w:styleId="Tabela-Siatka">
    <w:name w:val="Table Grid"/>
    <w:basedOn w:val="Standardowy"/>
    <w:uiPriority w:val="39"/>
    <w:rsid w:val="00C70628"/>
    <w:rPr>
      <w:rFonts w:ascii="Arial" w:hAnsi="Arial" w:cs="Arial"/>
      <w:color w:val="40404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semiHidden/>
    <w:unhideWhenUsed/>
    <w:rsid w:val="00C70628"/>
    <w:pPr>
      <w:spacing w:before="100" w:beforeAutospacing="1" w:after="100" w:afterAutospacing="1" w:line="240" w:lineRule="auto"/>
    </w:pPr>
    <w:rPr>
      <w:rFonts w:ascii="Times New Roman" w:eastAsia="MS Mincho" w:hAnsi="Times New Roman" w:cs="Times New Roman"/>
      <w:color w:val="404040"/>
      <w:sz w:val="24"/>
      <w:szCs w:val="24"/>
    </w:rPr>
  </w:style>
  <w:style w:type="paragraph" w:styleId="Stopka">
    <w:name w:val="footer"/>
    <w:basedOn w:val="Normalny"/>
    <w:link w:val="StopkaZnak"/>
    <w:uiPriority w:val="99"/>
    <w:unhideWhenUsed/>
    <w:rsid w:val="00C70628"/>
    <w:pPr>
      <w:spacing w:line="240" w:lineRule="auto"/>
    </w:pPr>
  </w:style>
  <w:style w:type="character" w:customStyle="1" w:styleId="StopkaZnak">
    <w:name w:val="Stopka Znak"/>
    <w:link w:val="Stopka"/>
    <w:uiPriority w:val="99"/>
    <w:rsid w:val="00C70628"/>
    <w:rPr>
      <w:rFonts w:ascii="Segoe UI" w:hAnsi="Segoe UI" w:cs="Segoe UI"/>
    </w:rPr>
  </w:style>
  <w:style w:type="character" w:styleId="Wyrnienieintensywne">
    <w:name w:val="Intense Emphasis"/>
    <w:uiPriority w:val="21"/>
    <w:qFormat/>
    <w:rsid w:val="00C70628"/>
    <w:rPr>
      <w:rFonts w:ascii="Segoe UI" w:hAnsi="Segoe UI" w:cs="Segoe UI"/>
      <w:i/>
      <w:iCs/>
      <w:color w:val="2B579A"/>
    </w:rPr>
  </w:style>
  <w:style w:type="table" w:styleId="Tabelasiatki1jasna">
    <w:name w:val="Grid Table 1 Light"/>
    <w:basedOn w:val="Standardowy"/>
    <w:uiPriority w:val="46"/>
    <w:rsid w:val="00C70628"/>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table" w:styleId="Tabelasiatki4akcent5">
    <w:name w:val="Grid Table 4 Accent 5"/>
    <w:basedOn w:val="Standardowy"/>
    <w:uiPriority w:val="49"/>
    <w:rsid w:val="00C70628"/>
    <w:tblPr>
      <w:tblStyleRowBandSize w:val="1"/>
      <w:tblStyleColBandSize w:val="1"/>
      <w:tblBorders>
        <w:top w:val="single" w:sz="4" w:space="0" w:color="6C95D6"/>
        <w:left w:val="single" w:sz="4" w:space="0" w:color="6C95D6"/>
        <w:bottom w:val="single" w:sz="4" w:space="0" w:color="6C95D6"/>
        <w:right w:val="single" w:sz="4" w:space="0" w:color="6C95D6"/>
        <w:insideH w:val="single" w:sz="4" w:space="0" w:color="6C95D6"/>
        <w:insideV w:val="single" w:sz="4" w:space="0" w:color="6C95D6"/>
      </w:tblBorders>
    </w:tblPr>
    <w:tblStylePr w:type="firstRow">
      <w:rPr>
        <w:b/>
        <w:bCs/>
        <w:color w:val="FFFFFF"/>
      </w:rPr>
      <w:tblPr/>
      <w:tcPr>
        <w:tcBorders>
          <w:top w:val="single" w:sz="4" w:space="0" w:color="2B579A"/>
          <w:left w:val="single" w:sz="4" w:space="0" w:color="2B579A"/>
          <w:bottom w:val="single" w:sz="4" w:space="0" w:color="2B579A"/>
          <w:right w:val="single" w:sz="4" w:space="0" w:color="2B579A"/>
          <w:insideH w:val="nil"/>
          <w:insideV w:val="nil"/>
        </w:tcBorders>
        <w:shd w:val="clear" w:color="auto" w:fill="2B579A"/>
      </w:tcPr>
    </w:tblStylePr>
    <w:tblStylePr w:type="lastRow">
      <w:rPr>
        <w:b/>
        <w:bCs/>
      </w:rPr>
      <w:tblPr/>
      <w:tcPr>
        <w:tcBorders>
          <w:top w:val="double" w:sz="4" w:space="0" w:color="2B579A"/>
        </w:tcBorders>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siatki1jasnaakcent6">
    <w:name w:val="Grid Table 1 Light Accent 6"/>
    <w:basedOn w:val="Standardowy"/>
    <w:uiPriority w:val="46"/>
    <w:rsid w:val="00C70628"/>
    <w:tblPr>
      <w:tblStyleRowBandSize w:val="1"/>
      <w:tblStyleColBandSize w:val="1"/>
      <w:tblBorders>
        <w:top w:val="single" w:sz="4" w:space="0" w:color="C5E0B3"/>
        <w:left w:val="single" w:sz="4" w:space="0" w:color="C5E0B3"/>
        <w:bottom w:val="single" w:sz="4" w:space="0" w:color="C5E0B3"/>
        <w:right w:val="single" w:sz="4" w:space="0" w:color="C5E0B3"/>
        <w:insideH w:val="single" w:sz="4" w:space="0" w:color="C5E0B3"/>
        <w:insideV w:val="single" w:sz="4" w:space="0" w:color="C5E0B3"/>
      </w:tblBorders>
    </w:tblPr>
    <w:tblStylePr w:type="firstRow">
      <w:rPr>
        <w:b/>
        <w:bCs/>
      </w:rPr>
      <w:tblPr/>
      <w:tcPr>
        <w:tcBorders>
          <w:bottom w:val="single" w:sz="12" w:space="0" w:color="A8D08D"/>
        </w:tcBorders>
      </w:tcPr>
    </w:tblStylePr>
    <w:tblStylePr w:type="lastRow">
      <w:rPr>
        <w:b/>
        <w:bCs/>
      </w:rPr>
      <w:tblPr/>
      <w:tcPr>
        <w:tcBorders>
          <w:top w:val="double" w:sz="2" w:space="0" w:color="A8D08D"/>
        </w:tcBorders>
      </w:tcPr>
    </w:tblStylePr>
    <w:tblStylePr w:type="firstCol">
      <w:rPr>
        <w:b/>
        <w:bCs/>
      </w:rPr>
    </w:tblStylePr>
    <w:tblStylePr w:type="lastCol">
      <w:rPr>
        <w:b/>
        <w:bCs/>
      </w:rPr>
    </w:tblStylePr>
  </w:style>
  <w:style w:type="table" w:styleId="Tabelasiatki5ciemna">
    <w:name w:val="Grid Table 5 Dark"/>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C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00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00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00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000000"/>
      </w:tcPr>
    </w:tblStylePr>
    <w:tblStylePr w:type="band1Vert">
      <w:tblPr/>
      <w:tcPr>
        <w:shd w:val="clear" w:color="auto" w:fill="999999"/>
      </w:tcPr>
    </w:tblStylePr>
    <w:tblStylePr w:type="band1Horz">
      <w:tblPr/>
      <w:tcPr>
        <w:shd w:val="clear" w:color="auto" w:fill="999999"/>
      </w:tcPr>
    </w:tblStylePr>
  </w:style>
  <w:style w:type="table" w:styleId="Tabelasiatki4">
    <w:name w:val="Grid Table 4"/>
    <w:basedOn w:val="Standardowy"/>
    <w:uiPriority w:val="49"/>
    <w:rsid w:val="00C7062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siatki1jasnaakcent1">
    <w:name w:val="Grid Table 1 Light Accent 1"/>
    <w:basedOn w:val="Standardowy"/>
    <w:uiPriority w:val="46"/>
    <w:rsid w:val="00C70628"/>
    <w:tblPr>
      <w:tblStyleRowBandSize w:val="1"/>
      <w:tblStyleColBandSize w:val="1"/>
      <w:tblBorders>
        <w:top w:val="single" w:sz="4" w:space="0" w:color="BDD6EE"/>
        <w:left w:val="single" w:sz="4" w:space="0" w:color="BDD6EE"/>
        <w:bottom w:val="single" w:sz="4" w:space="0" w:color="BDD6EE"/>
        <w:right w:val="single" w:sz="4" w:space="0" w:color="BDD6EE"/>
        <w:insideH w:val="single" w:sz="4" w:space="0" w:color="BDD6EE"/>
        <w:insideV w:val="single" w:sz="4" w:space="0" w:color="BDD6EE"/>
      </w:tblBorders>
    </w:tblPr>
    <w:tblStylePr w:type="firstRow">
      <w:rPr>
        <w:b/>
        <w:bCs/>
      </w:rPr>
      <w:tblPr/>
      <w:tcPr>
        <w:tcBorders>
          <w:bottom w:val="single" w:sz="12" w:space="0" w:color="9CC2E5"/>
        </w:tcBorders>
      </w:tcPr>
    </w:tblStylePr>
    <w:tblStylePr w:type="lastRow">
      <w:rPr>
        <w:b/>
        <w:bCs/>
      </w:rPr>
      <w:tblPr/>
      <w:tcPr>
        <w:tcBorders>
          <w:top w:val="double" w:sz="2" w:space="0" w:color="9CC2E5"/>
        </w:tcBorders>
      </w:tcPr>
    </w:tblStylePr>
    <w:tblStylePr w:type="firstCol">
      <w:rPr>
        <w:b/>
        <w:bCs/>
      </w:rPr>
    </w:tblStylePr>
    <w:tblStylePr w:type="lastCol">
      <w:rPr>
        <w:b/>
        <w:bCs/>
      </w:rPr>
    </w:tblStylePr>
  </w:style>
  <w:style w:type="character" w:customStyle="1" w:styleId="Nagwek2Znak">
    <w:name w:val="Nagłówek 2 Znak"/>
    <w:link w:val="Nagwek2"/>
    <w:uiPriority w:val="1"/>
    <w:rsid w:val="00C70628"/>
    <w:rPr>
      <w:rFonts w:ascii="Segoe UI Light" w:eastAsia="MS Gothic" w:hAnsi="Segoe UI Light" w:cs="Segoe UI Light"/>
      <w:color w:val="1F4E79"/>
      <w:sz w:val="36"/>
      <w:szCs w:val="26"/>
    </w:rPr>
  </w:style>
  <w:style w:type="paragraph" w:styleId="Listapunktowana">
    <w:name w:val="List Bullet"/>
    <w:basedOn w:val="Normalny"/>
    <w:uiPriority w:val="11"/>
    <w:qFormat/>
    <w:rsid w:val="00C70628"/>
    <w:pPr>
      <w:numPr>
        <w:numId w:val="5"/>
      </w:numPr>
    </w:pPr>
  </w:style>
  <w:style w:type="paragraph" w:styleId="Tekstdymka">
    <w:name w:val="Balloon Text"/>
    <w:basedOn w:val="Normalny"/>
    <w:link w:val="TekstdymkaZnak"/>
    <w:uiPriority w:val="99"/>
    <w:semiHidden/>
    <w:unhideWhenUsed/>
    <w:rsid w:val="00C70628"/>
    <w:pPr>
      <w:spacing w:line="240" w:lineRule="auto"/>
    </w:pPr>
    <w:rPr>
      <w:szCs w:val="18"/>
    </w:rPr>
  </w:style>
  <w:style w:type="character" w:customStyle="1" w:styleId="TekstdymkaZnak">
    <w:name w:val="Tekst dymka Znak"/>
    <w:link w:val="Tekstdymka"/>
    <w:uiPriority w:val="99"/>
    <w:semiHidden/>
    <w:rsid w:val="00C70628"/>
    <w:rPr>
      <w:rFonts w:ascii="Segoe UI" w:hAnsi="Segoe UI" w:cs="Segoe UI"/>
      <w:szCs w:val="18"/>
    </w:rPr>
  </w:style>
  <w:style w:type="character" w:styleId="Odwoaniedokomentarza">
    <w:name w:val="annotation reference"/>
    <w:uiPriority w:val="99"/>
    <w:semiHidden/>
    <w:unhideWhenUsed/>
    <w:rsid w:val="00C70628"/>
    <w:rPr>
      <w:rFonts w:ascii="Segoe UI" w:hAnsi="Segoe UI" w:cs="Segoe UI"/>
      <w:sz w:val="22"/>
      <w:szCs w:val="16"/>
    </w:rPr>
  </w:style>
  <w:style w:type="paragraph" w:styleId="Tekstkomentarza">
    <w:name w:val="annotation text"/>
    <w:basedOn w:val="Normalny"/>
    <w:link w:val="TekstkomentarzaZnak"/>
    <w:uiPriority w:val="99"/>
    <w:semiHidden/>
    <w:unhideWhenUsed/>
    <w:rsid w:val="00C70628"/>
    <w:pPr>
      <w:spacing w:line="240" w:lineRule="auto"/>
    </w:pPr>
    <w:rPr>
      <w:szCs w:val="20"/>
    </w:rPr>
  </w:style>
  <w:style w:type="character" w:customStyle="1" w:styleId="TekstkomentarzaZnak">
    <w:name w:val="Tekst komentarza Znak"/>
    <w:link w:val="Tekstkomentarza"/>
    <w:uiPriority w:val="99"/>
    <w:semiHidden/>
    <w:rsid w:val="00C70628"/>
    <w:rPr>
      <w:rFonts w:ascii="Segoe UI" w:hAnsi="Segoe UI" w:cs="Segoe UI"/>
      <w:szCs w:val="20"/>
    </w:rPr>
  </w:style>
  <w:style w:type="paragraph" w:styleId="Tematkomentarza">
    <w:name w:val="annotation subject"/>
    <w:basedOn w:val="Tekstkomentarza"/>
    <w:next w:val="Tekstkomentarza"/>
    <w:link w:val="TematkomentarzaZnak"/>
    <w:uiPriority w:val="99"/>
    <w:semiHidden/>
    <w:unhideWhenUsed/>
    <w:rsid w:val="00C70628"/>
    <w:rPr>
      <w:b/>
      <w:bCs/>
    </w:rPr>
  </w:style>
  <w:style w:type="character" w:customStyle="1" w:styleId="TematkomentarzaZnak">
    <w:name w:val="Temat komentarza Znak"/>
    <w:link w:val="Tematkomentarza"/>
    <w:uiPriority w:val="99"/>
    <w:semiHidden/>
    <w:rsid w:val="00C70628"/>
    <w:rPr>
      <w:rFonts w:ascii="Segoe UI" w:hAnsi="Segoe UI" w:cs="Segoe UI"/>
      <w:b/>
      <w:bCs/>
      <w:szCs w:val="20"/>
    </w:rPr>
  </w:style>
  <w:style w:type="character" w:styleId="Hipercze">
    <w:name w:val="Hyperlink"/>
    <w:uiPriority w:val="99"/>
    <w:unhideWhenUsed/>
    <w:rsid w:val="00C70628"/>
    <w:rPr>
      <w:rFonts w:ascii="Segoe UI" w:hAnsi="Segoe UI" w:cs="Segoe UI"/>
      <w:color w:val="0563C1"/>
      <w:u w:val="single"/>
    </w:rPr>
  </w:style>
  <w:style w:type="character" w:styleId="Uwydatnienie">
    <w:name w:val="Emphasis"/>
    <w:uiPriority w:val="20"/>
    <w:qFormat/>
    <w:rsid w:val="00C70628"/>
    <w:rPr>
      <w:rFonts w:ascii="Segoe UI" w:hAnsi="Segoe UI" w:cs="Segoe UI"/>
      <w:b/>
      <w:iCs/>
      <w:color w:val="BF0000"/>
    </w:rPr>
  </w:style>
  <w:style w:type="character" w:styleId="UyteHipercze">
    <w:name w:val="FollowedHyperlink"/>
    <w:uiPriority w:val="99"/>
    <w:semiHidden/>
    <w:unhideWhenUsed/>
    <w:rsid w:val="00C70628"/>
    <w:rPr>
      <w:rFonts w:ascii="Segoe UI" w:hAnsi="Segoe UI" w:cs="Segoe UI"/>
      <w:color w:val="954F72"/>
      <w:u w:val="single"/>
    </w:rPr>
  </w:style>
  <w:style w:type="character" w:styleId="Pogrubienie">
    <w:name w:val="Strong"/>
    <w:uiPriority w:val="4"/>
    <w:qFormat/>
    <w:rsid w:val="00C70628"/>
    <w:rPr>
      <w:rFonts w:ascii="Segoe UI" w:hAnsi="Segoe UI" w:cs="Segoe UI"/>
      <w:b/>
      <w:bCs/>
      <w:color w:val="2B579A"/>
    </w:rPr>
  </w:style>
  <w:style w:type="paragraph" w:customStyle="1" w:styleId="Nagwek1podziastrony">
    <w:name w:val="Nagłówek 1 — podział strony"/>
    <w:basedOn w:val="Normalny"/>
    <w:uiPriority w:val="6"/>
    <w:qFormat/>
    <w:rsid w:val="00C70628"/>
    <w:pPr>
      <w:keepNext/>
      <w:keepLines/>
      <w:pageBreakBefore/>
      <w:pBdr>
        <w:bottom w:val="single" w:sz="18" w:space="1" w:color="2B579A"/>
      </w:pBdr>
      <w:spacing w:before="360" w:after="240"/>
      <w:contextualSpacing/>
    </w:pPr>
    <w:rPr>
      <w:rFonts w:ascii="Segoe UI Light" w:hAnsi="Segoe UI Light" w:cs="Segoe UI Light"/>
      <w:color w:val="3B3838"/>
      <w:sz w:val="52"/>
    </w:rPr>
  </w:style>
  <w:style w:type="paragraph" w:customStyle="1" w:styleId="Obraz">
    <w:name w:val="Obraz"/>
    <w:basedOn w:val="Normalny"/>
    <w:uiPriority w:val="22"/>
    <w:qFormat/>
    <w:rsid w:val="00C70628"/>
    <w:pPr>
      <w:spacing w:before="240"/>
    </w:pPr>
    <w:rPr>
      <w:noProof/>
    </w:rPr>
  </w:style>
  <w:style w:type="paragraph" w:styleId="Bibliografia">
    <w:name w:val="Bibliography"/>
    <w:basedOn w:val="Normalny"/>
    <w:next w:val="Normalny"/>
    <w:uiPriority w:val="37"/>
    <w:unhideWhenUsed/>
    <w:rsid w:val="00C70628"/>
  </w:style>
  <w:style w:type="paragraph" w:styleId="Nagwekspisutreci">
    <w:name w:val="TOC Heading"/>
    <w:basedOn w:val="Nagwek1"/>
    <w:next w:val="Normalny"/>
    <w:uiPriority w:val="39"/>
    <w:unhideWhenUsed/>
    <w:qFormat/>
    <w:rsid w:val="00C70628"/>
    <w:pPr>
      <w:outlineLvl w:val="9"/>
    </w:pPr>
    <w:rPr>
      <w:kern w:val="0"/>
      <w:szCs w:val="32"/>
    </w:rPr>
  </w:style>
  <w:style w:type="paragraph" w:styleId="Tekstblokowy">
    <w:name w:val="Block Text"/>
    <w:basedOn w:val="Normalny"/>
    <w:uiPriority w:val="99"/>
    <w:unhideWhenUsed/>
    <w:rsid w:val="00C70628"/>
    <w:pPr>
      <w:pBdr>
        <w:top w:val="single" w:sz="2" w:space="10" w:color="1F4E79"/>
        <w:left w:val="single" w:sz="2" w:space="10" w:color="1F4E79"/>
        <w:bottom w:val="single" w:sz="2" w:space="10" w:color="1F4E79"/>
        <w:right w:val="single" w:sz="2" w:space="10" w:color="1F4E79"/>
      </w:pBdr>
      <w:ind w:left="1152" w:right="1152"/>
    </w:pPr>
    <w:rPr>
      <w:rFonts w:eastAsia="MS Mincho"/>
      <w:i/>
      <w:iCs/>
      <w:color w:val="1F4E79"/>
    </w:rPr>
  </w:style>
  <w:style w:type="paragraph" w:styleId="Tekstpodstawowy">
    <w:name w:val="Body Text"/>
    <w:basedOn w:val="Normalny"/>
    <w:link w:val="TekstpodstawowyZnak"/>
    <w:uiPriority w:val="99"/>
    <w:semiHidden/>
    <w:unhideWhenUsed/>
    <w:rsid w:val="00C70628"/>
    <w:pPr>
      <w:spacing w:after="120"/>
    </w:pPr>
  </w:style>
  <w:style w:type="character" w:customStyle="1" w:styleId="TekstpodstawowyZnak">
    <w:name w:val="Tekst podstawowy Znak"/>
    <w:link w:val="Tekstpodstawowy"/>
    <w:uiPriority w:val="99"/>
    <w:semiHidden/>
    <w:rsid w:val="00C70628"/>
    <w:rPr>
      <w:rFonts w:ascii="Segoe UI" w:hAnsi="Segoe UI" w:cs="Segoe UI"/>
    </w:rPr>
  </w:style>
  <w:style w:type="paragraph" w:styleId="Tekstpodstawowy2">
    <w:name w:val="Body Text 2"/>
    <w:basedOn w:val="Normalny"/>
    <w:link w:val="Tekstpodstawowy2Znak"/>
    <w:uiPriority w:val="99"/>
    <w:semiHidden/>
    <w:unhideWhenUsed/>
    <w:rsid w:val="00C70628"/>
    <w:pPr>
      <w:spacing w:after="120" w:line="480" w:lineRule="auto"/>
    </w:pPr>
  </w:style>
  <w:style w:type="character" w:customStyle="1" w:styleId="Tekstpodstawowy2Znak">
    <w:name w:val="Tekst podstawowy 2 Znak"/>
    <w:link w:val="Tekstpodstawowy2"/>
    <w:uiPriority w:val="99"/>
    <w:semiHidden/>
    <w:rsid w:val="00C70628"/>
    <w:rPr>
      <w:rFonts w:ascii="Segoe UI" w:hAnsi="Segoe UI" w:cs="Segoe UI"/>
    </w:rPr>
  </w:style>
  <w:style w:type="paragraph" w:styleId="Tekstpodstawowy3">
    <w:name w:val="Body Text 3"/>
    <w:basedOn w:val="Normalny"/>
    <w:link w:val="Tekstpodstawowy3Znak"/>
    <w:uiPriority w:val="99"/>
    <w:semiHidden/>
    <w:unhideWhenUsed/>
    <w:rsid w:val="00C70628"/>
    <w:pPr>
      <w:spacing w:after="120"/>
    </w:pPr>
    <w:rPr>
      <w:szCs w:val="16"/>
    </w:rPr>
  </w:style>
  <w:style w:type="character" w:customStyle="1" w:styleId="Tekstpodstawowy3Znak">
    <w:name w:val="Tekst podstawowy 3 Znak"/>
    <w:link w:val="Tekstpodstawowy3"/>
    <w:uiPriority w:val="99"/>
    <w:semiHidden/>
    <w:rsid w:val="00C70628"/>
    <w:rPr>
      <w:rFonts w:ascii="Segoe UI" w:hAnsi="Segoe UI" w:cs="Segoe UI"/>
      <w:szCs w:val="16"/>
    </w:rPr>
  </w:style>
  <w:style w:type="paragraph" w:styleId="Tekstpodstawowyzwciciem">
    <w:name w:val="Body Text First Indent"/>
    <w:basedOn w:val="Tekstpodstawowy"/>
    <w:link w:val="TekstpodstawowyzwciciemZnak"/>
    <w:uiPriority w:val="99"/>
    <w:semiHidden/>
    <w:unhideWhenUsed/>
    <w:rsid w:val="00C70628"/>
    <w:pPr>
      <w:spacing w:after="0"/>
      <w:ind w:firstLine="360"/>
    </w:pPr>
  </w:style>
  <w:style w:type="character" w:customStyle="1" w:styleId="TekstpodstawowyzwciciemZnak">
    <w:name w:val="Tekst podstawowy z wcięciem Znak"/>
    <w:link w:val="Tekstpodstawowyzwciciem"/>
    <w:uiPriority w:val="99"/>
    <w:semiHidden/>
    <w:rsid w:val="00C70628"/>
    <w:rPr>
      <w:rFonts w:ascii="Segoe UI" w:hAnsi="Segoe UI" w:cs="Segoe UI"/>
    </w:rPr>
  </w:style>
  <w:style w:type="paragraph" w:styleId="Tekstpodstawowywcity">
    <w:name w:val="Body Text Indent"/>
    <w:basedOn w:val="Normalny"/>
    <w:link w:val="TekstpodstawowywcityZnak"/>
    <w:uiPriority w:val="99"/>
    <w:semiHidden/>
    <w:unhideWhenUsed/>
    <w:rsid w:val="00C70628"/>
    <w:pPr>
      <w:spacing w:after="120"/>
      <w:ind w:left="360"/>
    </w:pPr>
  </w:style>
  <w:style w:type="character" w:customStyle="1" w:styleId="TekstpodstawowywcityZnak">
    <w:name w:val="Tekst podstawowy wcięty Znak"/>
    <w:link w:val="Tekstpodstawowywcity"/>
    <w:uiPriority w:val="99"/>
    <w:semiHidden/>
    <w:rsid w:val="00C70628"/>
    <w:rPr>
      <w:rFonts w:ascii="Segoe UI" w:hAnsi="Segoe UI" w:cs="Segoe UI"/>
    </w:rPr>
  </w:style>
  <w:style w:type="paragraph" w:styleId="Tekstpodstawowyzwciciem2">
    <w:name w:val="Body Text First Indent 2"/>
    <w:basedOn w:val="Tekstpodstawowywcity"/>
    <w:link w:val="Tekstpodstawowyzwciciem2Znak"/>
    <w:uiPriority w:val="99"/>
    <w:semiHidden/>
    <w:unhideWhenUsed/>
    <w:rsid w:val="00C70628"/>
    <w:pPr>
      <w:spacing w:after="0"/>
      <w:ind w:firstLine="360"/>
    </w:pPr>
  </w:style>
  <w:style w:type="character" w:customStyle="1" w:styleId="Tekstpodstawowyzwciciem2Znak">
    <w:name w:val="Tekst podstawowy z wcięciem 2 Znak"/>
    <w:link w:val="Tekstpodstawowyzwciciem2"/>
    <w:uiPriority w:val="99"/>
    <w:semiHidden/>
    <w:rsid w:val="00C70628"/>
    <w:rPr>
      <w:rFonts w:ascii="Segoe UI" w:hAnsi="Segoe UI" w:cs="Segoe UI"/>
    </w:rPr>
  </w:style>
  <w:style w:type="paragraph" w:styleId="Tekstpodstawowywcity2">
    <w:name w:val="Body Text Indent 2"/>
    <w:basedOn w:val="Normalny"/>
    <w:link w:val="Tekstpodstawowywcity2Znak"/>
    <w:uiPriority w:val="99"/>
    <w:semiHidden/>
    <w:unhideWhenUsed/>
    <w:rsid w:val="00C70628"/>
    <w:pPr>
      <w:spacing w:after="120" w:line="480" w:lineRule="auto"/>
      <w:ind w:left="360"/>
    </w:pPr>
  </w:style>
  <w:style w:type="character" w:customStyle="1" w:styleId="Tekstpodstawowywcity2Znak">
    <w:name w:val="Tekst podstawowy wcięty 2 Znak"/>
    <w:link w:val="Tekstpodstawowywcity2"/>
    <w:uiPriority w:val="99"/>
    <w:semiHidden/>
    <w:rsid w:val="00C70628"/>
    <w:rPr>
      <w:rFonts w:ascii="Segoe UI" w:hAnsi="Segoe UI" w:cs="Segoe UI"/>
    </w:rPr>
  </w:style>
  <w:style w:type="paragraph" w:styleId="Tekstpodstawowywcity3">
    <w:name w:val="Body Text Indent 3"/>
    <w:basedOn w:val="Normalny"/>
    <w:link w:val="Tekstpodstawowywcity3Znak"/>
    <w:uiPriority w:val="99"/>
    <w:semiHidden/>
    <w:unhideWhenUsed/>
    <w:rsid w:val="00C70628"/>
    <w:pPr>
      <w:spacing w:after="120"/>
      <w:ind w:left="360"/>
    </w:pPr>
    <w:rPr>
      <w:szCs w:val="16"/>
    </w:rPr>
  </w:style>
  <w:style w:type="character" w:customStyle="1" w:styleId="Tekstpodstawowywcity3Znak">
    <w:name w:val="Tekst podstawowy wcięty 3 Znak"/>
    <w:link w:val="Tekstpodstawowywcity3"/>
    <w:uiPriority w:val="99"/>
    <w:semiHidden/>
    <w:rsid w:val="00C70628"/>
    <w:rPr>
      <w:rFonts w:ascii="Segoe UI" w:hAnsi="Segoe UI" w:cs="Segoe UI"/>
      <w:szCs w:val="16"/>
    </w:rPr>
  </w:style>
  <w:style w:type="character" w:styleId="Tytuksiki">
    <w:name w:val="Book Title"/>
    <w:uiPriority w:val="33"/>
    <w:semiHidden/>
    <w:unhideWhenUsed/>
    <w:qFormat/>
    <w:rsid w:val="00C70628"/>
    <w:rPr>
      <w:rFonts w:ascii="Segoe UI" w:hAnsi="Segoe UI" w:cs="Segoe UI"/>
      <w:b/>
      <w:bCs/>
      <w:i/>
      <w:iCs/>
      <w:spacing w:val="0"/>
    </w:rPr>
  </w:style>
  <w:style w:type="paragraph" w:styleId="Legenda">
    <w:name w:val="caption"/>
    <w:basedOn w:val="Normalny"/>
    <w:next w:val="Normalny"/>
    <w:uiPriority w:val="35"/>
    <w:semiHidden/>
    <w:unhideWhenUsed/>
    <w:qFormat/>
    <w:rsid w:val="00C70628"/>
    <w:pPr>
      <w:spacing w:before="0" w:after="200" w:line="240" w:lineRule="auto"/>
    </w:pPr>
    <w:rPr>
      <w:i/>
      <w:iCs/>
      <w:color w:val="44546A"/>
      <w:szCs w:val="18"/>
    </w:rPr>
  </w:style>
  <w:style w:type="paragraph" w:styleId="Zwrotpoegnalny">
    <w:name w:val="Closing"/>
    <w:basedOn w:val="Normalny"/>
    <w:link w:val="ZwrotpoegnalnyZnak"/>
    <w:uiPriority w:val="99"/>
    <w:semiHidden/>
    <w:unhideWhenUsed/>
    <w:rsid w:val="00C70628"/>
    <w:pPr>
      <w:spacing w:before="0" w:line="240" w:lineRule="auto"/>
      <w:ind w:left="4320"/>
    </w:pPr>
  </w:style>
  <w:style w:type="character" w:customStyle="1" w:styleId="ZwrotpoegnalnyZnak">
    <w:name w:val="Zwrot pożegnalny Znak"/>
    <w:link w:val="Zwrotpoegnalny"/>
    <w:uiPriority w:val="99"/>
    <w:semiHidden/>
    <w:rsid w:val="00C70628"/>
    <w:rPr>
      <w:rFonts w:ascii="Segoe UI" w:hAnsi="Segoe UI" w:cs="Segoe UI"/>
    </w:rPr>
  </w:style>
  <w:style w:type="table" w:styleId="Kolorowasiatka">
    <w:name w:val="Colorful Grid"/>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Kolorowasiatkaakcent1">
    <w:name w:val="Colorful Grid Accent 1"/>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DEEAF6"/>
    </w:tcPr>
    <w:tblStylePr w:type="firstRow">
      <w:rPr>
        <w:b/>
        <w:bCs/>
      </w:rPr>
      <w:tblPr/>
      <w:tcPr>
        <w:shd w:val="clear" w:color="auto" w:fill="BDD6EE"/>
      </w:tcPr>
    </w:tblStylePr>
    <w:tblStylePr w:type="lastRow">
      <w:rPr>
        <w:b/>
        <w:bCs/>
        <w:color w:val="000000"/>
      </w:rPr>
      <w:tblPr/>
      <w:tcPr>
        <w:shd w:val="clear" w:color="auto" w:fill="BDD6EE"/>
      </w:tcPr>
    </w:tblStylePr>
    <w:tblStylePr w:type="firstCol">
      <w:rPr>
        <w:color w:val="FFFFFF"/>
      </w:rPr>
      <w:tblPr/>
      <w:tcPr>
        <w:shd w:val="clear" w:color="auto" w:fill="2E74B5"/>
      </w:tcPr>
    </w:tblStylePr>
    <w:tblStylePr w:type="lastCol">
      <w:rPr>
        <w:color w:val="FFFFFF"/>
      </w:rPr>
      <w:tblPr/>
      <w:tcPr>
        <w:shd w:val="clear" w:color="auto" w:fill="2E74B5"/>
      </w:tcPr>
    </w:tblStylePr>
    <w:tblStylePr w:type="band1Vert">
      <w:tblPr/>
      <w:tcPr>
        <w:shd w:val="clear" w:color="auto" w:fill="ADCCEA"/>
      </w:tcPr>
    </w:tblStylePr>
    <w:tblStylePr w:type="band1Horz">
      <w:tblPr/>
      <w:tcPr>
        <w:shd w:val="clear" w:color="auto" w:fill="ADCCEA"/>
      </w:tcPr>
    </w:tblStylePr>
  </w:style>
  <w:style w:type="table" w:styleId="Kolorowasiatkaakcent2">
    <w:name w:val="Colorful Grid Accent 2"/>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FFCCCC"/>
    </w:tcPr>
    <w:tblStylePr w:type="firstRow">
      <w:rPr>
        <w:b/>
        <w:bCs/>
      </w:rPr>
      <w:tblPr/>
      <w:tcPr>
        <w:shd w:val="clear" w:color="auto" w:fill="FF9999"/>
      </w:tcPr>
    </w:tblStylePr>
    <w:tblStylePr w:type="lastRow">
      <w:rPr>
        <w:b/>
        <w:bCs/>
        <w:color w:val="000000"/>
      </w:rPr>
      <w:tblPr/>
      <w:tcPr>
        <w:shd w:val="clear" w:color="auto" w:fill="FF9999"/>
      </w:tcPr>
    </w:tblStylePr>
    <w:tblStylePr w:type="firstCol">
      <w:rPr>
        <w:color w:val="FFFFFF"/>
      </w:rPr>
      <w:tblPr/>
      <w:tcPr>
        <w:shd w:val="clear" w:color="auto" w:fill="BF0000"/>
      </w:tcPr>
    </w:tblStylePr>
    <w:tblStylePr w:type="lastCol">
      <w:rPr>
        <w:color w:val="FFFFFF"/>
      </w:rPr>
      <w:tblPr/>
      <w:tcPr>
        <w:shd w:val="clear" w:color="auto" w:fill="BF0000"/>
      </w:tcPr>
    </w:tblStylePr>
    <w:tblStylePr w:type="band1Vert">
      <w:tblPr/>
      <w:tcPr>
        <w:shd w:val="clear" w:color="auto" w:fill="FF8080"/>
      </w:tcPr>
    </w:tblStylePr>
    <w:tblStylePr w:type="band1Horz">
      <w:tblPr/>
      <w:tcPr>
        <w:shd w:val="clear" w:color="auto" w:fill="FF8080"/>
      </w:tcPr>
    </w:tblStylePr>
  </w:style>
  <w:style w:type="table" w:styleId="Kolorowasiatkaakcent3">
    <w:name w:val="Colorful Grid Accent 3"/>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EDEDED"/>
    </w:tcPr>
    <w:tblStylePr w:type="firstRow">
      <w:rPr>
        <w:b/>
        <w:bCs/>
      </w:rPr>
      <w:tblPr/>
      <w:tcPr>
        <w:shd w:val="clear" w:color="auto" w:fill="DBDBDB"/>
      </w:tcPr>
    </w:tblStylePr>
    <w:tblStylePr w:type="lastRow">
      <w:rPr>
        <w:b/>
        <w:bCs/>
        <w:color w:val="000000"/>
      </w:rPr>
      <w:tblPr/>
      <w:tcPr>
        <w:shd w:val="clear" w:color="auto" w:fill="DBDBDB"/>
      </w:tcPr>
    </w:tblStylePr>
    <w:tblStylePr w:type="firstCol">
      <w:rPr>
        <w:color w:val="FFFFFF"/>
      </w:rPr>
      <w:tblPr/>
      <w:tcPr>
        <w:shd w:val="clear" w:color="auto" w:fill="7B7B7B"/>
      </w:tcPr>
    </w:tblStylePr>
    <w:tblStylePr w:type="lastCol">
      <w:rPr>
        <w:color w:val="FFFFFF"/>
      </w:rPr>
      <w:tblPr/>
      <w:tcPr>
        <w:shd w:val="clear" w:color="auto" w:fill="7B7B7B"/>
      </w:tcPr>
    </w:tblStylePr>
    <w:tblStylePr w:type="band1Vert">
      <w:tblPr/>
      <w:tcPr>
        <w:shd w:val="clear" w:color="auto" w:fill="D2D2D2"/>
      </w:tcPr>
    </w:tblStylePr>
    <w:tblStylePr w:type="band1Horz">
      <w:tblPr/>
      <w:tcPr>
        <w:shd w:val="clear" w:color="auto" w:fill="D2D2D2"/>
      </w:tcPr>
    </w:tblStylePr>
  </w:style>
  <w:style w:type="table" w:styleId="Kolorowasiatkaakcent4">
    <w:name w:val="Colorful Grid Accent 4"/>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FFF2CC"/>
    </w:tcPr>
    <w:tblStylePr w:type="firstRow">
      <w:rPr>
        <w:b/>
        <w:bCs/>
      </w:rPr>
      <w:tblPr/>
      <w:tcPr>
        <w:shd w:val="clear" w:color="auto" w:fill="FFE599"/>
      </w:tcPr>
    </w:tblStylePr>
    <w:tblStylePr w:type="lastRow">
      <w:rPr>
        <w:b/>
        <w:bCs/>
        <w:color w:val="000000"/>
      </w:rPr>
      <w:tblPr/>
      <w:tcPr>
        <w:shd w:val="clear" w:color="auto" w:fill="FFE599"/>
      </w:tcPr>
    </w:tblStylePr>
    <w:tblStylePr w:type="firstCol">
      <w:rPr>
        <w:color w:val="FFFFFF"/>
      </w:rPr>
      <w:tblPr/>
      <w:tcPr>
        <w:shd w:val="clear" w:color="auto" w:fill="BF8F00"/>
      </w:tcPr>
    </w:tblStylePr>
    <w:tblStylePr w:type="lastCol">
      <w:rPr>
        <w:color w:val="FFFFFF"/>
      </w:rPr>
      <w:tblPr/>
      <w:tcPr>
        <w:shd w:val="clear" w:color="auto" w:fill="BF8F00"/>
      </w:tcPr>
    </w:tblStylePr>
    <w:tblStylePr w:type="band1Vert">
      <w:tblPr/>
      <w:tcPr>
        <w:shd w:val="clear" w:color="auto" w:fill="FFDF80"/>
      </w:tcPr>
    </w:tblStylePr>
    <w:tblStylePr w:type="band1Horz">
      <w:tblPr/>
      <w:tcPr>
        <w:shd w:val="clear" w:color="auto" w:fill="FFDF80"/>
      </w:tcPr>
    </w:tblStylePr>
  </w:style>
  <w:style w:type="table" w:styleId="Kolorowasiatkaakcent5">
    <w:name w:val="Colorful Grid Accent 5"/>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CEDBF1"/>
    </w:tcPr>
    <w:tblStylePr w:type="firstRow">
      <w:rPr>
        <w:b/>
        <w:bCs/>
      </w:rPr>
      <w:tblPr/>
      <w:tcPr>
        <w:shd w:val="clear" w:color="auto" w:fill="9DB8E3"/>
      </w:tcPr>
    </w:tblStylePr>
    <w:tblStylePr w:type="lastRow">
      <w:rPr>
        <w:b/>
        <w:bCs/>
        <w:color w:val="000000"/>
      </w:rPr>
      <w:tblPr/>
      <w:tcPr>
        <w:shd w:val="clear" w:color="auto" w:fill="9DB8E3"/>
      </w:tcPr>
    </w:tblStylePr>
    <w:tblStylePr w:type="firstCol">
      <w:rPr>
        <w:color w:val="FFFFFF"/>
      </w:rPr>
      <w:tblPr/>
      <w:tcPr>
        <w:shd w:val="clear" w:color="auto" w:fill="204173"/>
      </w:tcPr>
    </w:tblStylePr>
    <w:tblStylePr w:type="lastCol">
      <w:rPr>
        <w:color w:val="FFFFFF"/>
      </w:rPr>
      <w:tblPr/>
      <w:tcPr>
        <w:shd w:val="clear" w:color="auto" w:fill="204173"/>
      </w:tcPr>
    </w:tblStylePr>
    <w:tblStylePr w:type="band1Vert">
      <w:tblPr/>
      <w:tcPr>
        <w:shd w:val="clear" w:color="auto" w:fill="85A7DD"/>
      </w:tcPr>
    </w:tblStylePr>
    <w:tblStylePr w:type="band1Horz">
      <w:tblPr/>
      <w:tcPr>
        <w:shd w:val="clear" w:color="auto" w:fill="85A7DD"/>
      </w:tcPr>
    </w:tblStylePr>
  </w:style>
  <w:style w:type="table" w:styleId="Kolorowasiatkaakcent6">
    <w:name w:val="Colorful Grid Accent 6"/>
    <w:basedOn w:val="Standardowy"/>
    <w:uiPriority w:val="73"/>
    <w:semiHidden/>
    <w:unhideWhenUsed/>
    <w:rsid w:val="00C70628"/>
    <w:rPr>
      <w:color w:val="000000"/>
    </w:rPr>
    <w:tblPr>
      <w:tblStyleRowBandSize w:val="1"/>
      <w:tblStyleColBandSize w:val="1"/>
      <w:tblBorders>
        <w:insideH w:val="single" w:sz="4" w:space="0" w:color="FFFFFF"/>
      </w:tblBorders>
    </w:tblPr>
    <w:tcPr>
      <w:shd w:val="clear" w:color="auto" w:fill="E2EFD9"/>
    </w:tcPr>
    <w:tblStylePr w:type="firstRow">
      <w:rPr>
        <w:b/>
        <w:bCs/>
      </w:rPr>
      <w:tblPr/>
      <w:tcPr>
        <w:shd w:val="clear" w:color="auto" w:fill="C5E0B3"/>
      </w:tcPr>
    </w:tblStylePr>
    <w:tblStylePr w:type="lastRow">
      <w:rPr>
        <w:b/>
        <w:bCs/>
        <w:color w:val="000000"/>
      </w:rPr>
      <w:tblPr/>
      <w:tcPr>
        <w:shd w:val="clear" w:color="auto" w:fill="C5E0B3"/>
      </w:tcPr>
    </w:tblStylePr>
    <w:tblStylePr w:type="firstCol">
      <w:rPr>
        <w:color w:val="FFFFFF"/>
      </w:rPr>
      <w:tblPr/>
      <w:tcPr>
        <w:shd w:val="clear" w:color="auto" w:fill="538135"/>
      </w:tcPr>
    </w:tblStylePr>
    <w:tblStylePr w:type="lastCol">
      <w:rPr>
        <w:color w:val="FFFFFF"/>
      </w:rPr>
      <w:tblPr/>
      <w:tcPr>
        <w:shd w:val="clear" w:color="auto" w:fill="538135"/>
      </w:tcPr>
    </w:tblStylePr>
    <w:tblStylePr w:type="band1Vert">
      <w:tblPr/>
      <w:tcPr>
        <w:shd w:val="clear" w:color="auto" w:fill="B7D8A0"/>
      </w:tcPr>
    </w:tblStylePr>
    <w:tblStylePr w:type="band1Horz">
      <w:tblPr/>
      <w:tcPr>
        <w:shd w:val="clear" w:color="auto" w:fill="B7D8A0"/>
      </w:tcPr>
    </w:tblStylePr>
  </w:style>
  <w:style w:type="table" w:styleId="Kolorowalista">
    <w:name w:val="Colorful List"/>
    <w:basedOn w:val="Standardowy"/>
    <w:uiPriority w:val="72"/>
    <w:semiHidden/>
    <w:unhideWhenUsed/>
    <w:rsid w:val="00C706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CC0000"/>
      </w:tcPr>
    </w:tblStylePr>
    <w:tblStylePr w:type="lastRow">
      <w:rPr>
        <w:b/>
        <w:bCs/>
        <w:color w:val="CC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Kolorowalistaakcent1">
    <w:name w:val="Colorful List Accent 1"/>
    <w:basedOn w:val="Standardowy"/>
    <w:uiPriority w:val="72"/>
    <w:semiHidden/>
    <w:unhideWhenUsed/>
    <w:rsid w:val="00C70628"/>
    <w:rPr>
      <w:color w:val="000000"/>
    </w:rPr>
    <w:tblPr>
      <w:tblStyleRowBandSize w:val="1"/>
      <w:tblStyleColBandSize w:val="1"/>
    </w:tblPr>
    <w:tcPr>
      <w:shd w:val="clear" w:color="auto" w:fill="EEF5FB"/>
    </w:tcPr>
    <w:tblStylePr w:type="firstRow">
      <w:rPr>
        <w:b/>
        <w:bCs/>
        <w:color w:val="FFFFFF"/>
      </w:rPr>
      <w:tblPr/>
      <w:tcPr>
        <w:tcBorders>
          <w:bottom w:val="single" w:sz="12" w:space="0" w:color="FFFFFF"/>
        </w:tcBorders>
        <w:shd w:val="clear" w:color="auto" w:fill="CC0000"/>
      </w:tcPr>
    </w:tblStylePr>
    <w:tblStylePr w:type="lastRow">
      <w:rPr>
        <w:b/>
        <w:bCs/>
        <w:color w:val="CC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cPr>
    </w:tblStylePr>
    <w:tblStylePr w:type="band1Horz">
      <w:tblPr/>
      <w:tcPr>
        <w:shd w:val="clear" w:color="auto" w:fill="DEEAF6"/>
      </w:tcPr>
    </w:tblStylePr>
  </w:style>
  <w:style w:type="table" w:styleId="Kolorowalistaakcent2">
    <w:name w:val="Colorful List Accent 2"/>
    <w:basedOn w:val="Standardowy"/>
    <w:uiPriority w:val="72"/>
    <w:semiHidden/>
    <w:unhideWhenUsed/>
    <w:rsid w:val="00C70628"/>
    <w:rPr>
      <w:color w:val="000000"/>
    </w:rPr>
    <w:tblPr>
      <w:tblStyleRowBandSize w:val="1"/>
      <w:tblStyleColBandSize w:val="1"/>
    </w:tblPr>
    <w:tcPr>
      <w:shd w:val="clear" w:color="auto" w:fill="FFE6E6"/>
    </w:tcPr>
    <w:tblStylePr w:type="firstRow">
      <w:rPr>
        <w:b/>
        <w:bCs/>
        <w:color w:val="FFFFFF"/>
      </w:rPr>
      <w:tblPr/>
      <w:tcPr>
        <w:tcBorders>
          <w:bottom w:val="single" w:sz="12" w:space="0" w:color="FFFFFF"/>
        </w:tcBorders>
        <w:shd w:val="clear" w:color="auto" w:fill="CC0000"/>
      </w:tcPr>
    </w:tblStylePr>
    <w:tblStylePr w:type="lastRow">
      <w:rPr>
        <w:b/>
        <w:bCs/>
        <w:color w:val="CC00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C0C0"/>
      </w:tcPr>
    </w:tblStylePr>
    <w:tblStylePr w:type="band1Horz">
      <w:tblPr/>
      <w:tcPr>
        <w:shd w:val="clear" w:color="auto" w:fill="FFCCCC"/>
      </w:tcPr>
    </w:tblStylePr>
  </w:style>
  <w:style w:type="table" w:styleId="Kolorowalistaakcent3">
    <w:name w:val="Colorful List Accent 3"/>
    <w:basedOn w:val="Standardowy"/>
    <w:uiPriority w:val="72"/>
    <w:semiHidden/>
    <w:unhideWhenUsed/>
    <w:rsid w:val="00C70628"/>
    <w:rPr>
      <w:color w:val="000000"/>
    </w:rPr>
    <w:tblPr>
      <w:tblStyleRowBandSize w:val="1"/>
      <w:tblStyleColBandSize w:val="1"/>
    </w:tblPr>
    <w:tcPr>
      <w:shd w:val="clear" w:color="auto" w:fill="F6F6F6"/>
    </w:tcPr>
    <w:tblStylePr w:type="firstRow">
      <w:rPr>
        <w:b/>
        <w:bCs/>
        <w:color w:val="FFFFFF"/>
      </w:rPr>
      <w:tblPr/>
      <w:tcPr>
        <w:tcBorders>
          <w:bottom w:val="single" w:sz="12" w:space="0" w:color="FFFFFF"/>
        </w:tcBorders>
        <w:shd w:val="clear" w:color="auto" w:fill="CC9900"/>
      </w:tcPr>
    </w:tblStylePr>
    <w:tblStylePr w:type="lastRow">
      <w:rPr>
        <w:b/>
        <w:bCs/>
        <w:color w:val="CC990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cPr>
    </w:tblStylePr>
    <w:tblStylePr w:type="band1Horz">
      <w:tblPr/>
      <w:tcPr>
        <w:shd w:val="clear" w:color="auto" w:fill="EDEDED"/>
      </w:tcPr>
    </w:tblStylePr>
  </w:style>
  <w:style w:type="table" w:styleId="Kolorowalistaakcent4">
    <w:name w:val="Colorful List Accent 4"/>
    <w:basedOn w:val="Standardowy"/>
    <w:uiPriority w:val="72"/>
    <w:semiHidden/>
    <w:unhideWhenUsed/>
    <w:rsid w:val="00C70628"/>
    <w:rPr>
      <w:color w:val="000000"/>
    </w:rPr>
    <w:tblPr>
      <w:tblStyleRowBandSize w:val="1"/>
      <w:tblStyleColBandSize w:val="1"/>
    </w:tblPr>
    <w:tcPr>
      <w:shd w:val="clear" w:color="auto" w:fill="FFF8E6"/>
    </w:tcPr>
    <w:tblStylePr w:type="firstRow">
      <w:rPr>
        <w:b/>
        <w:bCs/>
        <w:color w:val="FFFFFF"/>
      </w:rPr>
      <w:tblPr/>
      <w:tcPr>
        <w:tcBorders>
          <w:bottom w:val="single" w:sz="12" w:space="0" w:color="FFFFFF"/>
        </w:tcBorders>
        <w:shd w:val="clear" w:color="auto" w:fill="848484"/>
      </w:tcPr>
    </w:tblStylePr>
    <w:tblStylePr w:type="lastRow">
      <w:rPr>
        <w:b/>
        <w:bCs/>
        <w:color w:val="848484"/>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cPr>
    </w:tblStylePr>
    <w:tblStylePr w:type="band1Horz">
      <w:tblPr/>
      <w:tcPr>
        <w:shd w:val="clear" w:color="auto" w:fill="FFF2CC"/>
      </w:tcPr>
    </w:tblStylePr>
  </w:style>
  <w:style w:type="table" w:styleId="Kolorowalistaakcent5">
    <w:name w:val="Colorful List Accent 5"/>
    <w:basedOn w:val="Standardowy"/>
    <w:uiPriority w:val="72"/>
    <w:semiHidden/>
    <w:unhideWhenUsed/>
    <w:rsid w:val="00C70628"/>
    <w:rPr>
      <w:color w:val="000000"/>
    </w:rPr>
    <w:tblPr>
      <w:tblStyleRowBandSize w:val="1"/>
      <w:tblStyleColBandSize w:val="1"/>
    </w:tblPr>
    <w:tcPr>
      <w:shd w:val="clear" w:color="auto" w:fill="E6EDF8"/>
    </w:tcPr>
    <w:tblStylePr w:type="firstRow">
      <w:rPr>
        <w:b/>
        <w:bCs/>
        <w:color w:val="FFFFFF"/>
      </w:rPr>
      <w:tblPr/>
      <w:tcPr>
        <w:tcBorders>
          <w:bottom w:val="single" w:sz="12" w:space="0" w:color="FFFFFF"/>
        </w:tcBorders>
        <w:shd w:val="clear" w:color="auto" w:fill="598A38"/>
      </w:tcPr>
    </w:tblStylePr>
    <w:tblStylePr w:type="lastRow">
      <w:rPr>
        <w:b/>
        <w:bCs/>
        <w:color w:val="598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2D3EE"/>
      </w:tcPr>
    </w:tblStylePr>
    <w:tblStylePr w:type="band1Horz">
      <w:tblPr/>
      <w:tcPr>
        <w:shd w:val="clear" w:color="auto" w:fill="CEDBF1"/>
      </w:tcPr>
    </w:tblStylePr>
  </w:style>
  <w:style w:type="table" w:styleId="Kolorowalistaakcent6">
    <w:name w:val="Colorful List Accent 6"/>
    <w:basedOn w:val="Standardowy"/>
    <w:uiPriority w:val="72"/>
    <w:semiHidden/>
    <w:unhideWhenUsed/>
    <w:rsid w:val="00C70628"/>
    <w:rPr>
      <w:color w:val="000000"/>
    </w:rPr>
    <w:tblPr>
      <w:tblStyleRowBandSize w:val="1"/>
      <w:tblStyleColBandSize w:val="1"/>
    </w:tblPr>
    <w:tcPr>
      <w:shd w:val="clear" w:color="auto" w:fill="F0F7EC"/>
    </w:tcPr>
    <w:tblStylePr w:type="firstRow">
      <w:rPr>
        <w:b/>
        <w:bCs/>
        <w:color w:val="FFFFFF"/>
      </w:rPr>
      <w:tblPr/>
      <w:tcPr>
        <w:tcBorders>
          <w:bottom w:val="single" w:sz="12" w:space="0" w:color="FFFFFF"/>
        </w:tcBorders>
        <w:shd w:val="clear" w:color="auto" w:fill="22457A"/>
      </w:tcPr>
    </w:tblStylePr>
    <w:tblStylePr w:type="lastRow">
      <w:rPr>
        <w:b/>
        <w:bCs/>
        <w:color w:val="22457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cPr>
    </w:tblStylePr>
    <w:tblStylePr w:type="band1Horz">
      <w:tblPr/>
      <w:tcPr>
        <w:shd w:val="clear" w:color="auto" w:fill="E2EFD9"/>
      </w:tcPr>
    </w:tblStylePr>
  </w:style>
  <w:style w:type="table" w:styleId="Kolorowecieniowanie">
    <w:name w:val="Colorful Shading"/>
    <w:basedOn w:val="Standardowy"/>
    <w:uiPriority w:val="71"/>
    <w:semiHidden/>
    <w:unhideWhenUsed/>
    <w:rsid w:val="00C70628"/>
    <w:rPr>
      <w:color w:val="000000"/>
    </w:rPr>
    <w:tblPr>
      <w:tblStyleRowBandSize w:val="1"/>
      <w:tblStyleColBandSize w:val="1"/>
      <w:tblBorders>
        <w:top w:val="single" w:sz="24" w:space="0" w:color="FF0000"/>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FF0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Kolorowecieniowanieakcent1">
    <w:name w:val="Colorful Shading Accent 1"/>
    <w:basedOn w:val="Standardowy"/>
    <w:uiPriority w:val="71"/>
    <w:semiHidden/>
    <w:unhideWhenUsed/>
    <w:rsid w:val="00C70628"/>
    <w:rPr>
      <w:color w:val="000000"/>
    </w:rPr>
    <w:tblPr>
      <w:tblStyleRowBandSize w:val="1"/>
      <w:tblStyleColBandSize w:val="1"/>
      <w:tblBorders>
        <w:top w:val="single" w:sz="24" w:space="0" w:color="FF0000"/>
        <w:left w:val="single" w:sz="4" w:space="0" w:color="5B9BD5"/>
        <w:bottom w:val="single" w:sz="4" w:space="0" w:color="5B9BD5"/>
        <w:right w:val="single" w:sz="4" w:space="0" w:color="5B9BD5"/>
        <w:insideH w:val="single" w:sz="4" w:space="0" w:color="FFFFFF"/>
        <w:insideV w:val="single" w:sz="4" w:space="0" w:color="FFFFFF"/>
      </w:tblBorders>
    </w:tblPr>
    <w:tcPr>
      <w:shd w:val="clear" w:color="auto" w:fill="EEF5FB"/>
    </w:tcPr>
    <w:tblStylePr w:type="firstRow">
      <w:rPr>
        <w:b/>
        <w:bCs/>
      </w:rPr>
      <w:tblPr/>
      <w:tcPr>
        <w:tcBorders>
          <w:top w:val="nil"/>
          <w:left w:val="nil"/>
          <w:bottom w:val="single" w:sz="24" w:space="0" w:color="FF0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55D91"/>
      </w:tcPr>
    </w:tblStylePr>
    <w:tblStylePr w:type="firstCol">
      <w:rPr>
        <w:color w:val="FFFFFF"/>
      </w:rPr>
      <w:tblPr/>
      <w:tcPr>
        <w:tcBorders>
          <w:top w:val="nil"/>
          <w:left w:val="nil"/>
          <w:bottom w:val="nil"/>
          <w:right w:val="nil"/>
          <w:insideH w:val="single" w:sz="4" w:space="0" w:color="255D91"/>
          <w:insideV w:val="nil"/>
        </w:tcBorders>
        <w:shd w:val="clear" w:color="auto" w:fill="255D91"/>
      </w:tcPr>
    </w:tblStylePr>
    <w:tblStylePr w:type="lastCol">
      <w:rPr>
        <w:color w:val="FFFFFF"/>
      </w:rPr>
      <w:tblPr/>
      <w:tcPr>
        <w:tcBorders>
          <w:top w:val="nil"/>
          <w:left w:val="nil"/>
          <w:bottom w:val="nil"/>
          <w:right w:val="nil"/>
          <w:insideH w:val="nil"/>
          <w:insideV w:val="nil"/>
        </w:tcBorders>
        <w:shd w:val="clear" w:color="auto" w:fill="255D91"/>
      </w:tcPr>
    </w:tblStylePr>
    <w:tblStylePr w:type="band1Vert">
      <w:tblPr/>
      <w:tcPr>
        <w:shd w:val="clear" w:color="auto" w:fill="BDD6EE"/>
      </w:tcPr>
    </w:tblStylePr>
    <w:tblStylePr w:type="band1Horz">
      <w:tblPr/>
      <w:tcPr>
        <w:shd w:val="clear" w:color="auto" w:fill="ADCCEA"/>
      </w:tcPr>
    </w:tblStylePr>
    <w:tblStylePr w:type="neCell">
      <w:rPr>
        <w:color w:val="000000"/>
      </w:rPr>
    </w:tblStylePr>
    <w:tblStylePr w:type="nwCell">
      <w:rPr>
        <w:color w:val="000000"/>
      </w:rPr>
    </w:tblStylePr>
  </w:style>
  <w:style w:type="table" w:styleId="Kolorowecieniowanieakcent2">
    <w:name w:val="Colorful Shading Accent 2"/>
    <w:basedOn w:val="Standardowy"/>
    <w:uiPriority w:val="71"/>
    <w:semiHidden/>
    <w:unhideWhenUsed/>
    <w:rsid w:val="00C70628"/>
    <w:rPr>
      <w:color w:val="000000"/>
    </w:rPr>
    <w:tblPr>
      <w:tblStyleRowBandSize w:val="1"/>
      <w:tblStyleColBandSize w:val="1"/>
      <w:tblBorders>
        <w:top w:val="single" w:sz="24" w:space="0" w:color="FF0000"/>
        <w:left w:val="single" w:sz="4" w:space="0" w:color="FF0000"/>
        <w:bottom w:val="single" w:sz="4" w:space="0" w:color="FF0000"/>
        <w:right w:val="single" w:sz="4" w:space="0" w:color="FF0000"/>
        <w:insideH w:val="single" w:sz="4" w:space="0" w:color="FFFFFF"/>
        <w:insideV w:val="single" w:sz="4" w:space="0" w:color="FFFFFF"/>
      </w:tblBorders>
    </w:tblPr>
    <w:tcPr>
      <w:shd w:val="clear" w:color="auto" w:fill="FFE6E6"/>
    </w:tcPr>
    <w:tblStylePr w:type="firstRow">
      <w:rPr>
        <w:b/>
        <w:bCs/>
      </w:rPr>
      <w:tblPr/>
      <w:tcPr>
        <w:tcBorders>
          <w:top w:val="nil"/>
          <w:left w:val="nil"/>
          <w:bottom w:val="single" w:sz="24" w:space="0" w:color="FF0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0000"/>
      </w:tcPr>
    </w:tblStylePr>
    <w:tblStylePr w:type="firstCol">
      <w:rPr>
        <w:color w:val="FFFFFF"/>
      </w:rPr>
      <w:tblPr/>
      <w:tcPr>
        <w:tcBorders>
          <w:top w:val="nil"/>
          <w:left w:val="nil"/>
          <w:bottom w:val="nil"/>
          <w:right w:val="nil"/>
          <w:insideH w:val="single" w:sz="4" w:space="0" w:color="990000"/>
          <w:insideV w:val="nil"/>
        </w:tcBorders>
        <w:shd w:val="clear" w:color="auto" w:fill="990000"/>
      </w:tcPr>
    </w:tblStylePr>
    <w:tblStylePr w:type="lastCol">
      <w:rPr>
        <w:color w:val="FFFFFF"/>
      </w:rPr>
      <w:tblPr/>
      <w:tcPr>
        <w:tcBorders>
          <w:top w:val="nil"/>
          <w:left w:val="nil"/>
          <w:bottom w:val="nil"/>
          <w:right w:val="nil"/>
          <w:insideH w:val="nil"/>
          <w:insideV w:val="nil"/>
        </w:tcBorders>
        <w:shd w:val="clear" w:color="auto" w:fill="990000"/>
      </w:tcPr>
    </w:tblStylePr>
    <w:tblStylePr w:type="band1Vert">
      <w:tblPr/>
      <w:tcPr>
        <w:shd w:val="clear" w:color="auto" w:fill="FF9999"/>
      </w:tcPr>
    </w:tblStylePr>
    <w:tblStylePr w:type="band1Horz">
      <w:tblPr/>
      <w:tcPr>
        <w:shd w:val="clear" w:color="auto" w:fill="FF8080"/>
      </w:tcPr>
    </w:tblStylePr>
    <w:tblStylePr w:type="neCell">
      <w:rPr>
        <w:color w:val="000000"/>
      </w:rPr>
    </w:tblStylePr>
    <w:tblStylePr w:type="nwCell">
      <w:rPr>
        <w:color w:val="000000"/>
      </w:rPr>
    </w:tblStylePr>
  </w:style>
  <w:style w:type="table" w:styleId="Kolorowecieniowanieakcent3">
    <w:name w:val="Colorful Shading Accent 3"/>
    <w:basedOn w:val="Standardowy"/>
    <w:uiPriority w:val="71"/>
    <w:semiHidden/>
    <w:unhideWhenUsed/>
    <w:rsid w:val="00C70628"/>
    <w:rPr>
      <w:color w:val="000000"/>
    </w:rPr>
    <w:tblPr>
      <w:tblStyleRowBandSize w:val="1"/>
      <w:tblStyleColBandSize w:val="1"/>
      <w:tblBorders>
        <w:top w:val="single" w:sz="24" w:space="0" w:color="FFC000"/>
        <w:left w:val="single" w:sz="4" w:space="0" w:color="A5A5A5"/>
        <w:bottom w:val="single" w:sz="4" w:space="0" w:color="A5A5A5"/>
        <w:right w:val="single" w:sz="4" w:space="0" w:color="A5A5A5"/>
        <w:insideH w:val="single" w:sz="4" w:space="0" w:color="FFFFFF"/>
        <w:insideV w:val="single" w:sz="4" w:space="0" w:color="FFFFFF"/>
      </w:tblBorders>
    </w:tblPr>
    <w:tcPr>
      <w:shd w:val="clear" w:color="auto" w:fill="F6F6F6"/>
    </w:tcPr>
    <w:tblStylePr w:type="firstRow">
      <w:rPr>
        <w:b/>
        <w:bCs/>
      </w:rPr>
      <w:tblPr/>
      <w:tcPr>
        <w:tcBorders>
          <w:top w:val="nil"/>
          <w:left w:val="nil"/>
          <w:bottom w:val="single" w:sz="24" w:space="0" w:color="FFC000"/>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636363"/>
      </w:tcPr>
    </w:tblStylePr>
    <w:tblStylePr w:type="firstCol">
      <w:rPr>
        <w:color w:val="FFFFFF"/>
      </w:rPr>
      <w:tblPr/>
      <w:tcPr>
        <w:tcBorders>
          <w:top w:val="nil"/>
          <w:left w:val="nil"/>
          <w:bottom w:val="nil"/>
          <w:right w:val="nil"/>
          <w:insideH w:val="single" w:sz="4" w:space="0" w:color="636363"/>
          <w:insideV w:val="nil"/>
        </w:tcBorders>
        <w:shd w:val="clear" w:color="auto" w:fill="636363"/>
      </w:tcPr>
    </w:tblStylePr>
    <w:tblStylePr w:type="lastCol">
      <w:rPr>
        <w:color w:val="FFFFFF"/>
      </w:rPr>
      <w:tblPr/>
      <w:tcPr>
        <w:tcBorders>
          <w:top w:val="nil"/>
          <w:left w:val="nil"/>
          <w:bottom w:val="nil"/>
          <w:right w:val="nil"/>
          <w:insideH w:val="nil"/>
          <w:insideV w:val="nil"/>
        </w:tcBorders>
        <w:shd w:val="clear" w:color="auto" w:fill="636363"/>
      </w:tcPr>
    </w:tblStylePr>
    <w:tblStylePr w:type="band1Vert">
      <w:tblPr/>
      <w:tcPr>
        <w:shd w:val="clear" w:color="auto" w:fill="DBDBDB"/>
      </w:tcPr>
    </w:tblStylePr>
    <w:tblStylePr w:type="band1Horz">
      <w:tblPr/>
      <w:tcPr>
        <w:shd w:val="clear" w:color="auto" w:fill="D2D2D2"/>
      </w:tcPr>
    </w:tblStylePr>
  </w:style>
  <w:style w:type="table" w:styleId="Kolorowecieniowanieakcent4">
    <w:name w:val="Colorful Shading Accent 4"/>
    <w:basedOn w:val="Standardowy"/>
    <w:uiPriority w:val="71"/>
    <w:semiHidden/>
    <w:unhideWhenUsed/>
    <w:rsid w:val="00C70628"/>
    <w:rPr>
      <w:color w:val="000000"/>
    </w:rPr>
    <w:tblPr>
      <w:tblStyleRowBandSize w:val="1"/>
      <w:tblStyleColBandSize w:val="1"/>
      <w:tblBorders>
        <w:top w:val="single" w:sz="24" w:space="0" w:color="A5A5A5"/>
        <w:left w:val="single" w:sz="4" w:space="0" w:color="FFC000"/>
        <w:bottom w:val="single" w:sz="4" w:space="0" w:color="FFC000"/>
        <w:right w:val="single" w:sz="4" w:space="0" w:color="FFC000"/>
        <w:insideH w:val="single" w:sz="4" w:space="0" w:color="FFFFFF"/>
        <w:insideV w:val="single" w:sz="4" w:space="0" w:color="FFFFFF"/>
      </w:tblBorders>
    </w:tblPr>
    <w:tcPr>
      <w:shd w:val="clear" w:color="auto" w:fill="FFF8E6"/>
    </w:tcPr>
    <w:tblStylePr w:type="firstRow">
      <w:rPr>
        <w:b/>
        <w:bCs/>
      </w:rPr>
      <w:tblPr/>
      <w:tcPr>
        <w:tcBorders>
          <w:top w:val="nil"/>
          <w:left w:val="nil"/>
          <w:bottom w:val="single" w:sz="24" w:space="0" w:color="A5A5A5"/>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997300"/>
      </w:tcPr>
    </w:tblStylePr>
    <w:tblStylePr w:type="firstCol">
      <w:rPr>
        <w:color w:val="FFFFFF"/>
      </w:rPr>
      <w:tblPr/>
      <w:tcPr>
        <w:tcBorders>
          <w:top w:val="nil"/>
          <w:left w:val="nil"/>
          <w:bottom w:val="nil"/>
          <w:right w:val="nil"/>
          <w:insideH w:val="single" w:sz="4" w:space="0" w:color="997300"/>
          <w:insideV w:val="nil"/>
        </w:tcBorders>
        <w:shd w:val="clear" w:color="auto" w:fill="997300"/>
      </w:tcPr>
    </w:tblStylePr>
    <w:tblStylePr w:type="lastCol">
      <w:rPr>
        <w:color w:val="FFFFFF"/>
      </w:rPr>
      <w:tblPr/>
      <w:tcPr>
        <w:tcBorders>
          <w:top w:val="nil"/>
          <w:left w:val="nil"/>
          <w:bottom w:val="nil"/>
          <w:right w:val="nil"/>
          <w:insideH w:val="nil"/>
          <w:insideV w:val="nil"/>
        </w:tcBorders>
        <w:shd w:val="clear" w:color="auto" w:fill="997300"/>
      </w:tcPr>
    </w:tblStylePr>
    <w:tblStylePr w:type="band1Vert">
      <w:tblPr/>
      <w:tcPr>
        <w:shd w:val="clear" w:color="auto" w:fill="FFE599"/>
      </w:tcPr>
    </w:tblStylePr>
    <w:tblStylePr w:type="band1Horz">
      <w:tblPr/>
      <w:tcPr>
        <w:shd w:val="clear" w:color="auto" w:fill="FFDF80"/>
      </w:tcPr>
    </w:tblStylePr>
    <w:tblStylePr w:type="neCell">
      <w:rPr>
        <w:color w:val="000000"/>
      </w:rPr>
    </w:tblStylePr>
    <w:tblStylePr w:type="nwCell">
      <w:rPr>
        <w:color w:val="000000"/>
      </w:rPr>
    </w:tblStylePr>
  </w:style>
  <w:style w:type="table" w:styleId="Kolorowecieniowanieakcent5">
    <w:name w:val="Colorful Shading Accent 5"/>
    <w:basedOn w:val="Standardowy"/>
    <w:uiPriority w:val="71"/>
    <w:semiHidden/>
    <w:unhideWhenUsed/>
    <w:rsid w:val="00C70628"/>
    <w:rPr>
      <w:color w:val="000000"/>
    </w:rPr>
    <w:tblPr>
      <w:tblStyleRowBandSize w:val="1"/>
      <w:tblStyleColBandSize w:val="1"/>
      <w:tblBorders>
        <w:top w:val="single" w:sz="24" w:space="0" w:color="70AD47"/>
        <w:left w:val="single" w:sz="4" w:space="0" w:color="2B579A"/>
        <w:bottom w:val="single" w:sz="4" w:space="0" w:color="2B579A"/>
        <w:right w:val="single" w:sz="4" w:space="0" w:color="2B579A"/>
        <w:insideH w:val="single" w:sz="4" w:space="0" w:color="FFFFFF"/>
        <w:insideV w:val="single" w:sz="4" w:space="0" w:color="FFFFFF"/>
      </w:tblBorders>
    </w:tblPr>
    <w:tcPr>
      <w:shd w:val="clear" w:color="auto" w:fill="E6EDF8"/>
    </w:tcPr>
    <w:tblStylePr w:type="firstRow">
      <w:rPr>
        <w:b/>
        <w:bCs/>
      </w:rPr>
      <w:tblPr/>
      <w:tcPr>
        <w:tcBorders>
          <w:top w:val="nil"/>
          <w:left w:val="nil"/>
          <w:bottom w:val="single" w:sz="24" w:space="0" w:color="70AD47"/>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19345C"/>
      </w:tcPr>
    </w:tblStylePr>
    <w:tblStylePr w:type="firstCol">
      <w:rPr>
        <w:color w:val="FFFFFF"/>
      </w:rPr>
      <w:tblPr/>
      <w:tcPr>
        <w:tcBorders>
          <w:top w:val="nil"/>
          <w:left w:val="nil"/>
          <w:bottom w:val="nil"/>
          <w:right w:val="nil"/>
          <w:insideH w:val="single" w:sz="4" w:space="0" w:color="19345C"/>
          <w:insideV w:val="nil"/>
        </w:tcBorders>
        <w:shd w:val="clear" w:color="auto" w:fill="19345C"/>
      </w:tcPr>
    </w:tblStylePr>
    <w:tblStylePr w:type="lastCol">
      <w:rPr>
        <w:color w:val="FFFFFF"/>
      </w:rPr>
      <w:tblPr/>
      <w:tcPr>
        <w:tcBorders>
          <w:top w:val="nil"/>
          <w:left w:val="nil"/>
          <w:bottom w:val="nil"/>
          <w:right w:val="nil"/>
          <w:insideH w:val="nil"/>
          <w:insideV w:val="nil"/>
        </w:tcBorders>
        <w:shd w:val="clear" w:color="auto" w:fill="19345C"/>
      </w:tcPr>
    </w:tblStylePr>
    <w:tblStylePr w:type="band1Vert">
      <w:tblPr/>
      <w:tcPr>
        <w:shd w:val="clear" w:color="auto" w:fill="9DB8E3"/>
      </w:tcPr>
    </w:tblStylePr>
    <w:tblStylePr w:type="band1Horz">
      <w:tblPr/>
      <w:tcPr>
        <w:shd w:val="clear" w:color="auto" w:fill="85A7DD"/>
      </w:tcPr>
    </w:tblStylePr>
    <w:tblStylePr w:type="neCell">
      <w:rPr>
        <w:color w:val="000000"/>
      </w:rPr>
    </w:tblStylePr>
    <w:tblStylePr w:type="nwCell">
      <w:rPr>
        <w:color w:val="000000"/>
      </w:rPr>
    </w:tblStylePr>
  </w:style>
  <w:style w:type="table" w:styleId="Kolorowecieniowanieakcent6">
    <w:name w:val="Colorful Shading Accent 6"/>
    <w:basedOn w:val="Standardowy"/>
    <w:uiPriority w:val="71"/>
    <w:semiHidden/>
    <w:unhideWhenUsed/>
    <w:rsid w:val="00C70628"/>
    <w:rPr>
      <w:color w:val="000000"/>
    </w:rPr>
    <w:tblPr>
      <w:tblStyleRowBandSize w:val="1"/>
      <w:tblStyleColBandSize w:val="1"/>
      <w:tblBorders>
        <w:top w:val="single" w:sz="24" w:space="0" w:color="2B579A"/>
        <w:left w:val="single" w:sz="4" w:space="0" w:color="70AD47"/>
        <w:bottom w:val="single" w:sz="4" w:space="0" w:color="70AD47"/>
        <w:right w:val="single" w:sz="4" w:space="0" w:color="70AD47"/>
        <w:insideH w:val="single" w:sz="4" w:space="0" w:color="FFFFFF"/>
        <w:insideV w:val="single" w:sz="4" w:space="0" w:color="FFFFFF"/>
      </w:tblBorders>
    </w:tblPr>
    <w:tcPr>
      <w:shd w:val="clear" w:color="auto" w:fill="F0F7EC"/>
    </w:tcPr>
    <w:tblStylePr w:type="firstRow">
      <w:rPr>
        <w:b/>
        <w:bCs/>
      </w:rPr>
      <w:tblPr/>
      <w:tcPr>
        <w:tcBorders>
          <w:top w:val="nil"/>
          <w:left w:val="nil"/>
          <w:bottom w:val="single" w:sz="24" w:space="0" w:color="2B579A"/>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3672A"/>
      </w:tcPr>
    </w:tblStylePr>
    <w:tblStylePr w:type="firstCol">
      <w:rPr>
        <w:color w:val="FFFFFF"/>
      </w:rPr>
      <w:tblPr/>
      <w:tcPr>
        <w:tcBorders>
          <w:top w:val="nil"/>
          <w:left w:val="nil"/>
          <w:bottom w:val="nil"/>
          <w:right w:val="nil"/>
          <w:insideH w:val="single" w:sz="4" w:space="0" w:color="43672A"/>
          <w:insideV w:val="nil"/>
        </w:tcBorders>
        <w:shd w:val="clear" w:color="auto" w:fill="43672A"/>
      </w:tcPr>
    </w:tblStylePr>
    <w:tblStylePr w:type="lastCol">
      <w:rPr>
        <w:color w:val="FFFFFF"/>
      </w:rPr>
      <w:tblPr/>
      <w:tcPr>
        <w:tcBorders>
          <w:top w:val="nil"/>
          <w:left w:val="nil"/>
          <w:bottom w:val="nil"/>
          <w:right w:val="nil"/>
          <w:insideH w:val="nil"/>
          <w:insideV w:val="nil"/>
        </w:tcBorders>
        <w:shd w:val="clear" w:color="auto" w:fill="43672A"/>
      </w:tcPr>
    </w:tblStylePr>
    <w:tblStylePr w:type="band1Vert">
      <w:tblPr/>
      <w:tcPr>
        <w:shd w:val="clear" w:color="auto" w:fill="C5E0B3"/>
      </w:tcPr>
    </w:tblStylePr>
    <w:tblStylePr w:type="band1Horz">
      <w:tblPr/>
      <w:tcPr>
        <w:shd w:val="clear" w:color="auto" w:fill="B7D8A0"/>
      </w:tcPr>
    </w:tblStylePr>
    <w:tblStylePr w:type="neCell">
      <w:rPr>
        <w:color w:val="000000"/>
      </w:rPr>
    </w:tblStylePr>
    <w:tblStylePr w:type="nwCell">
      <w:rPr>
        <w:color w:val="000000"/>
      </w:rPr>
    </w:tblStylePr>
  </w:style>
  <w:style w:type="table" w:styleId="Ciemnalista">
    <w:name w:val="Dark List"/>
    <w:basedOn w:val="Standardowy"/>
    <w:uiPriority w:val="70"/>
    <w:semiHidden/>
    <w:unhideWhenUsed/>
    <w:rsid w:val="00C706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Ciemnalista2akcent1">
    <w:name w:val="Dark List Accent 1"/>
    <w:basedOn w:val="Standardowy"/>
    <w:uiPriority w:val="70"/>
    <w:semiHidden/>
    <w:unhideWhenUsed/>
    <w:rsid w:val="00C70628"/>
    <w:rPr>
      <w:color w:val="FFFFFF"/>
    </w:rPr>
    <w:tblPr>
      <w:tblStyleRowBandSize w:val="1"/>
      <w:tblStyleColBandSize w:val="1"/>
    </w:tblPr>
    <w:tcPr>
      <w:shd w:val="clear" w:color="auto" w:fill="5B9BD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F4D78"/>
      </w:tcPr>
    </w:tblStylePr>
    <w:tblStylePr w:type="firstCol">
      <w:tblPr/>
      <w:tcPr>
        <w:tcBorders>
          <w:top w:val="nil"/>
          <w:left w:val="nil"/>
          <w:bottom w:val="nil"/>
          <w:right w:val="single" w:sz="18" w:space="0" w:color="FFFFFF"/>
          <w:insideH w:val="nil"/>
          <w:insideV w:val="nil"/>
        </w:tcBorders>
        <w:shd w:val="clear" w:color="auto" w:fill="2E74B5"/>
      </w:tcPr>
    </w:tblStylePr>
    <w:tblStylePr w:type="lastCol">
      <w:tblPr/>
      <w:tcPr>
        <w:tcBorders>
          <w:top w:val="nil"/>
          <w:left w:val="single" w:sz="18" w:space="0" w:color="FFFFFF"/>
          <w:bottom w:val="nil"/>
          <w:right w:val="nil"/>
          <w:insideH w:val="nil"/>
          <w:insideV w:val="nil"/>
        </w:tcBorders>
        <w:shd w:val="clear" w:color="auto" w:fill="2E74B5"/>
      </w:tcPr>
    </w:tblStylePr>
    <w:tblStylePr w:type="band1Vert">
      <w:tblPr/>
      <w:tcPr>
        <w:tcBorders>
          <w:top w:val="nil"/>
          <w:left w:val="nil"/>
          <w:bottom w:val="nil"/>
          <w:right w:val="nil"/>
          <w:insideH w:val="nil"/>
          <w:insideV w:val="nil"/>
        </w:tcBorders>
        <w:shd w:val="clear" w:color="auto" w:fill="2E74B5"/>
      </w:tcPr>
    </w:tblStylePr>
    <w:tblStylePr w:type="band1Horz">
      <w:tblPr/>
      <w:tcPr>
        <w:tcBorders>
          <w:top w:val="nil"/>
          <w:left w:val="nil"/>
          <w:bottom w:val="nil"/>
          <w:right w:val="nil"/>
          <w:insideH w:val="nil"/>
          <w:insideV w:val="nil"/>
        </w:tcBorders>
        <w:shd w:val="clear" w:color="auto" w:fill="2E74B5"/>
      </w:tcPr>
    </w:tblStylePr>
  </w:style>
  <w:style w:type="table" w:styleId="Ciemnalistaakcent2">
    <w:name w:val="Dark List Accent 2"/>
    <w:basedOn w:val="Standardowy"/>
    <w:uiPriority w:val="70"/>
    <w:semiHidden/>
    <w:unhideWhenUsed/>
    <w:rsid w:val="00C70628"/>
    <w:rPr>
      <w:color w:val="FFFFFF"/>
    </w:rPr>
    <w:tblPr>
      <w:tblStyleRowBandSize w:val="1"/>
      <w:tblStyleColBandSize w:val="1"/>
    </w:tblPr>
    <w:tcPr>
      <w:shd w:val="clear" w:color="auto" w:fill="FF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0000"/>
      </w:tcPr>
    </w:tblStylePr>
    <w:tblStylePr w:type="firstCol">
      <w:tblPr/>
      <w:tcPr>
        <w:tcBorders>
          <w:top w:val="nil"/>
          <w:left w:val="nil"/>
          <w:bottom w:val="nil"/>
          <w:right w:val="single" w:sz="18" w:space="0" w:color="FFFFFF"/>
          <w:insideH w:val="nil"/>
          <w:insideV w:val="nil"/>
        </w:tcBorders>
        <w:shd w:val="clear" w:color="auto" w:fill="BF0000"/>
      </w:tcPr>
    </w:tblStylePr>
    <w:tblStylePr w:type="lastCol">
      <w:tblPr/>
      <w:tcPr>
        <w:tcBorders>
          <w:top w:val="nil"/>
          <w:left w:val="single" w:sz="18" w:space="0" w:color="FFFFFF"/>
          <w:bottom w:val="nil"/>
          <w:right w:val="nil"/>
          <w:insideH w:val="nil"/>
          <w:insideV w:val="nil"/>
        </w:tcBorders>
        <w:shd w:val="clear" w:color="auto" w:fill="BF0000"/>
      </w:tcPr>
    </w:tblStylePr>
    <w:tblStylePr w:type="band1Vert">
      <w:tblPr/>
      <w:tcPr>
        <w:tcBorders>
          <w:top w:val="nil"/>
          <w:left w:val="nil"/>
          <w:bottom w:val="nil"/>
          <w:right w:val="nil"/>
          <w:insideH w:val="nil"/>
          <w:insideV w:val="nil"/>
        </w:tcBorders>
        <w:shd w:val="clear" w:color="auto" w:fill="BF0000"/>
      </w:tcPr>
    </w:tblStylePr>
    <w:tblStylePr w:type="band1Horz">
      <w:tblPr/>
      <w:tcPr>
        <w:tcBorders>
          <w:top w:val="nil"/>
          <w:left w:val="nil"/>
          <w:bottom w:val="nil"/>
          <w:right w:val="nil"/>
          <w:insideH w:val="nil"/>
          <w:insideV w:val="nil"/>
        </w:tcBorders>
        <w:shd w:val="clear" w:color="auto" w:fill="BF0000"/>
      </w:tcPr>
    </w:tblStylePr>
  </w:style>
  <w:style w:type="table" w:styleId="Ciemnalistaakcent3">
    <w:name w:val="Dark List Accent 3"/>
    <w:basedOn w:val="Standardowy"/>
    <w:uiPriority w:val="70"/>
    <w:semiHidden/>
    <w:unhideWhenUsed/>
    <w:rsid w:val="00C70628"/>
    <w:rPr>
      <w:color w:val="FFFFFF"/>
    </w:rPr>
    <w:tblPr>
      <w:tblStyleRowBandSize w:val="1"/>
      <w:tblStyleColBandSize w:val="1"/>
    </w:tblPr>
    <w:tcPr>
      <w:shd w:val="clear" w:color="auto" w:fill="A5A5A5"/>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525252"/>
      </w:tcPr>
    </w:tblStylePr>
    <w:tblStylePr w:type="firstCol">
      <w:tblPr/>
      <w:tcPr>
        <w:tcBorders>
          <w:top w:val="nil"/>
          <w:left w:val="nil"/>
          <w:bottom w:val="nil"/>
          <w:right w:val="single" w:sz="18" w:space="0" w:color="FFFFFF"/>
          <w:insideH w:val="nil"/>
          <w:insideV w:val="nil"/>
        </w:tcBorders>
        <w:shd w:val="clear" w:color="auto" w:fill="7B7B7B"/>
      </w:tcPr>
    </w:tblStylePr>
    <w:tblStylePr w:type="lastCol">
      <w:tblPr/>
      <w:tcPr>
        <w:tcBorders>
          <w:top w:val="nil"/>
          <w:left w:val="single" w:sz="18" w:space="0" w:color="FFFFFF"/>
          <w:bottom w:val="nil"/>
          <w:right w:val="nil"/>
          <w:insideH w:val="nil"/>
          <w:insideV w:val="nil"/>
        </w:tcBorders>
        <w:shd w:val="clear" w:color="auto" w:fill="7B7B7B"/>
      </w:tcPr>
    </w:tblStylePr>
    <w:tblStylePr w:type="band1Vert">
      <w:tblPr/>
      <w:tcPr>
        <w:tcBorders>
          <w:top w:val="nil"/>
          <w:left w:val="nil"/>
          <w:bottom w:val="nil"/>
          <w:right w:val="nil"/>
          <w:insideH w:val="nil"/>
          <w:insideV w:val="nil"/>
        </w:tcBorders>
        <w:shd w:val="clear" w:color="auto" w:fill="7B7B7B"/>
      </w:tcPr>
    </w:tblStylePr>
    <w:tblStylePr w:type="band1Horz">
      <w:tblPr/>
      <w:tcPr>
        <w:tcBorders>
          <w:top w:val="nil"/>
          <w:left w:val="nil"/>
          <w:bottom w:val="nil"/>
          <w:right w:val="nil"/>
          <w:insideH w:val="nil"/>
          <w:insideV w:val="nil"/>
        </w:tcBorders>
        <w:shd w:val="clear" w:color="auto" w:fill="7B7B7B"/>
      </w:tcPr>
    </w:tblStylePr>
  </w:style>
  <w:style w:type="table" w:styleId="Ciemnalistaakcent4">
    <w:name w:val="Dark List Accent 4"/>
    <w:basedOn w:val="Standardowy"/>
    <w:uiPriority w:val="70"/>
    <w:semiHidden/>
    <w:unhideWhenUsed/>
    <w:rsid w:val="00C70628"/>
    <w:rPr>
      <w:color w:val="FFFFFF"/>
    </w:rPr>
    <w:tblPr>
      <w:tblStyleRowBandSize w:val="1"/>
      <w:tblStyleColBandSize w:val="1"/>
    </w:tblPr>
    <w:tcPr>
      <w:shd w:val="clear" w:color="auto" w:fill="FFC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7F5F00"/>
      </w:tcPr>
    </w:tblStylePr>
    <w:tblStylePr w:type="firstCol">
      <w:tblPr/>
      <w:tcPr>
        <w:tcBorders>
          <w:top w:val="nil"/>
          <w:left w:val="nil"/>
          <w:bottom w:val="nil"/>
          <w:right w:val="single" w:sz="18" w:space="0" w:color="FFFFFF"/>
          <w:insideH w:val="nil"/>
          <w:insideV w:val="nil"/>
        </w:tcBorders>
        <w:shd w:val="clear" w:color="auto" w:fill="BF8F00"/>
      </w:tcPr>
    </w:tblStylePr>
    <w:tblStylePr w:type="lastCol">
      <w:tblPr/>
      <w:tcPr>
        <w:tcBorders>
          <w:top w:val="nil"/>
          <w:left w:val="single" w:sz="18" w:space="0" w:color="FFFFFF"/>
          <w:bottom w:val="nil"/>
          <w:right w:val="nil"/>
          <w:insideH w:val="nil"/>
          <w:insideV w:val="nil"/>
        </w:tcBorders>
        <w:shd w:val="clear" w:color="auto" w:fill="BF8F00"/>
      </w:tcPr>
    </w:tblStylePr>
    <w:tblStylePr w:type="band1Vert">
      <w:tblPr/>
      <w:tcPr>
        <w:tcBorders>
          <w:top w:val="nil"/>
          <w:left w:val="nil"/>
          <w:bottom w:val="nil"/>
          <w:right w:val="nil"/>
          <w:insideH w:val="nil"/>
          <w:insideV w:val="nil"/>
        </w:tcBorders>
        <w:shd w:val="clear" w:color="auto" w:fill="BF8F00"/>
      </w:tcPr>
    </w:tblStylePr>
    <w:tblStylePr w:type="band1Horz">
      <w:tblPr/>
      <w:tcPr>
        <w:tcBorders>
          <w:top w:val="nil"/>
          <w:left w:val="nil"/>
          <w:bottom w:val="nil"/>
          <w:right w:val="nil"/>
          <w:insideH w:val="nil"/>
          <w:insideV w:val="nil"/>
        </w:tcBorders>
        <w:shd w:val="clear" w:color="auto" w:fill="BF8F00"/>
      </w:tcPr>
    </w:tblStylePr>
  </w:style>
  <w:style w:type="table" w:styleId="Ciemnalistaakcent5">
    <w:name w:val="Dark List Accent 5"/>
    <w:basedOn w:val="Standardowy"/>
    <w:uiPriority w:val="70"/>
    <w:semiHidden/>
    <w:unhideWhenUsed/>
    <w:rsid w:val="00C70628"/>
    <w:rPr>
      <w:color w:val="FFFFFF"/>
    </w:rPr>
    <w:tblPr>
      <w:tblStyleRowBandSize w:val="1"/>
      <w:tblStyleColBandSize w:val="1"/>
    </w:tblPr>
    <w:tcPr>
      <w:shd w:val="clear" w:color="auto" w:fill="2B579A"/>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152B4C"/>
      </w:tcPr>
    </w:tblStylePr>
    <w:tblStylePr w:type="firstCol">
      <w:tblPr/>
      <w:tcPr>
        <w:tcBorders>
          <w:top w:val="nil"/>
          <w:left w:val="nil"/>
          <w:bottom w:val="nil"/>
          <w:right w:val="single" w:sz="18" w:space="0" w:color="FFFFFF"/>
          <w:insideH w:val="nil"/>
          <w:insideV w:val="nil"/>
        </w:tcBorders>
        <w:shd w:val="clear" w:color="auto" w:fill="204173"/>
      </w:tcPr>
    </w:tblStylePr>
    <w:tblStylePr w:type="lastCol">
      <w:tblPr/>
      <w:tcPr>
        <w:tcBorders>
          <w:top w:val="nil"/>
          <w:left w:val="single" w:sz="18" w:space="0" w:color="FFFFFF"/>
          <w:bottom w:val="nil"/>
          <w:right w:val="nil"/>
          <w:insideH w:val="nil"/>
          <w:insideV w:val="nil"/>
        </w:tcBorders>
        <w:shd w:val="clear" w:color="auto" w:fill="204173"/>
      </w:tcPr>
    </w:tblStylePr>
    <w:tblStylePr w:type="band1Vert">
      <w:tblPr/>
      <w:tcPr>
        <w:tcBorders>
          <w:top w:val="nil"/>
          <w:left w:val="nil"/>
          <w:bottom w:val="nil"/>
          <w:right w:val="nil"/>
          <w:insideH w:val="nil"/>
          <w:insideV w:val="nil"/>
        </w:tcBorders>
        <w:shd w:val="clear" w:color="auto" w:fill="204173"/>
      </w:tcPr>
    </w:tblStylePr>
    <w:tblStylePr w:type="band1Horz">
      <w:tblPr/>
      <w:tcPr>
        <w:tcBorders>
          <w:top w:val="nil"/>
          <w:left w:val="nil"/>
          <w:bottom w:val="nil"/>
          <w:right w:val="nil"/>
          <w:insideH w:val="nil"/>
          <w:insideV w:val="nil"/>
        </w:tcBorders>
        <w:shd w:val="clear" w:color="auto" w:fill="204173"/>
      </w:tcPr>
    </w:tblStylePr>
  </w:style>
  <w:style w:type="table" w:styleId="Ciemnalistaakcent6">
    <w:name w:val="Dark List Accent 6"/>
    <w:basedOn w:val="Standardowy"/>
    <w:uiPriority w:val="70"/>
    <w:semiHidden/>
    <w:unhideWhenUsed/>
    <w:rsid w:val="00C70628"/>
    <w:rPr>
      <w:color w:val="FFFFFF"/>
    </w:rPr>
    <w:tblPr>
      <w:tblStyleRowBandSize w:val="1"/>
      <w:tblStyleColBandSize w:val="1"/>
    </w:tblPr>
    <w:tcPr>
      <w:shd w:val="clear" w:color="auto" w:fill="70AD47"/>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75623"/>
      </w:tcPr>
    </w:tblStylePr>
    <w:tblStylePr w:type="firstCol">
      <w:tblPr/>
      <w:tcPr>
        <w:tcBorders>
          <w:top w:val="nil"/>
          <w:left w:val="nil"/>
          <w:bottom w:val="nil"/>
          <w:right w:val="single" w:sz="18" w:space="0" w:color="FFFFFF"/>
          <w:insideH w:val="nil"/>
          <w:insideV w:val="nil"/>
        </w:tcBorders>
        <w:shd w:val="clear" w:color="auto" w:fill="538135"/>
      </w:tcPr>
    </w:tblStylePr>
    <w:tblStylePr w:type="lastCol">
      <w:tblPr/>
      <w:tcPr>
        <w:tcBorders>
          <w:top w:val="nil"/>
          <w:left w:val="single" w:sz="18" w:space="0" w:color="FFFFFF"/>
          <w:bottom w:val="nil"/>
          <w:right w:val="nil"/>
          <w:insideH w:val="nil"/>
          <w:insideV w:val="nil"/>
        </w:tcBorders>
        <w:shd w:val="clear" w:color="auto" w:fill="538135"/>
      </w:tcPr>
    </w:tblStylePr>
    <w:tblStylePr w:type="band1Vert">
      <w:tblPr/>
      <w:tcPr>
        <w:tcBorders>
          <w:top w:val="nil"/>
          <w:left w:val="nil"/>
          <w:bottom w:val="nil"/>
          <w:right w:val="nil"/>
          <w:insideH w:val="nil"/>
          <w:insideV w:val="nil"/>
        </w:tcBorders>
        <w:shd w:val="clear" w:color="auto" w:fill="538135"/>
      </w:tcPr>
    </w:tblStylePr>
    <w:tblStylePr w:type="band1Horz">
      <w:tblPr/>
      <w:tcPr>
        <w:tcBorders>
          <w:top w:val="nil"/>
          <w:left w:val="nil"/>
          <w:bottom w:val="nil"/>
          <w:right w:val="nil"/>
          <w:insideH w:val="nil"/>
          <w:insideV w:val="nil"/>
        </w:tcBorders>
        <w:shd w:val="clear" w:color="auto" w:fill="538135"/>
      </w:tcPr>
    </w:tblStylePr>
  </w:style>
  <w:style w:type="paragraph" w:styleId="Data">
    <w:name w:val="Date"/>
    <w:basedOn w:val="Normalny"/>
    <w:next w:val="Normalny"/>
    <w:link w:val="DataZnak"/>
    <w:uiPriority w:val="99"/>
    <w:semiHidden/>
    <w:unhideWhenUsed/>
    <w:rsid w:val="00C70628"/>
  </w:style>
  <w:style w:type="character" w:customStyle="1" w:styleId="DataZnak">
    <w:name w:val="Data Znak"/>
    <w:link w:val="Data"/>
    <w:uiPriority w:val="99"/>
    <w:semiHidden/>
    <w:rsid w:val="00C70628"/>
    <w:rPr>
      <w:rFonts w:ascii="Segoe UI" w:hAnsi="Segoe UI" w:cs="Segoe UI"/>
    </w:rPr>
  </w:style>
  <w:style w:type="paragraph" w:styleId="Mapadokumentu">
    <w:name w:val="Document Map"/>
    <w:basedOn w:val="Normalny"/>
    <w:link w:val="MapadokumentuZnak"/>
    <w:uiPriority w:val="99"/>
    <w:semiHidden/>
    <w:unhideWhenUsed/>
    <w:rsid w:val="00C70628"/>
    <w:pPr>
      <w:spacing w:before="0" w:line="240" w:lineRule="auto"/>
    </w:pPr>
    <w:rPr>
      <w:szCs w:val="16"/>
    </w:rPr>
  </w:style>
  <w:style w:type="character" w:customStyle="1" w:styleId="MapadokumentuZnak">
    <w:name w:val="Mapa dokumentu Znak"/>
    <w:link w:val="Mapadokumentu"/>
    <w:uiPriority w:val="99"/>
    <w:semiHidden/>
    <w:rsid w:val="00C70628"/>
    <w:rPr>
      <w:rFonts w:ascii="Segoe UI" w:hAnsi="Segoe UI" w:cs="Segoe UI"/>
      <w:szCs w:val="16"/>
    </w:rPr>
  </w:style>
  <w:style w:type="paragraph" w:styleId="Podpise-mail">
    <w:name w:val="E-mail Signature"/>
    <w:basedOn w:val="Normalny"/>
    <w:link w:val="Podpise-mailZnak"/>
    <w:uiPriority w:val="99"/>
    <w:semiHidden/>
    <w:unhideWhenUsed/>
    <w:rsid w:val="00C70628"/>
    <w:pPr>
      <w:spacing w:before="0" w:line="240" w:lineRule="auto"/>
    </w:pPr>
  </w:style>
  <w:style w:type="character" w:customStyle="1" w:styleId="Podpise-mailZnak">
    <w:name w:val="Podpis e-mail Znak"/>
    <w:link w:val="Podpise-mail"/>
    <w:uiPriority w:val="99"/>
    <w:semiHidden/>
    <w:rsid w:val="00C70628"/>
    <w:rPr>
      <w:rFonts w:ascii="Segoe UI" w:hAnsi="Segoe UI" w:cs="Segoe UI"/>
    </w:rPr>
  </w:style>
  <w:style w:type="character" w:styleId="Odwoanieprzypisukocowego">
    <w:name w:val="endnote reference"/>
    <w:uiPriority w:val="99"/>
    <w:semiHidden/>
    <w:unhideWhenUsed/>
    <w:rsid w:val="00C70628"/>
    <w:rPr>
      <w:rFonts w:ascii="Segoe UI" w:hAnsi="Segoe UI" w:cs="Segoe UI"/>
      <w:vertAlign w:val="superscript"/>
    </w:rPr>
  </w:style>
  <w:style w:type="paragraph" w:styleId="Tekstprzypisukocowego">
    <w:name w:val="endnote text"/>
    <w:basedOn w:val="Normalny"/>
    <w:link w:val="TekstprzypisukocowegoZnak"/>
    <w:uiPriority w:val="99"/>
    <w:semiHidden/>
    <w:unhideWhenUsed/>
    <w:rsid w:val="00C70628"/>
    <w:pPr>
      <w:spacing w:before="0" w:line="240" w:lineRule="auto"/>
    </w:pPr>
    <w:rPr>
      <w:szCs w:val="20"/>
    </w:rPr>
  </w:style>
  <w:style w:type="character" w:customStyle="1" w:styleId="TekstprzypisukocowegoZnak">
    <w:name w:val="Tekst przypisu końcowego Znak"/>
    <w:link w:val="Tekstprzypisukocowego"/>
    <w:uiPriority w:val="99"/>
    <w:semiHidden/>
    <w:rsid w:val="00C70628"/>
    <w:rPr>
      <w:rFonts w:ascii="Segoe UI" w:hAnsi="Segoe UI" w:cs="Segoe UI"/>
      <w:szCs w:val="20"/>
    </w:rPr>
  </w:style>
  <w:style w:type="paragraph" w:styleId="Adresnakopercie">
    <w:name w:val="envelope address"/>
    <w:basedOn w:val="Normalny"/>
    <w:uiPriority w:val="99"/>
    <w:semiHidden/>
    <w:unhideWhenUsed/>
    <w:rsid w:val="00C70628"/>
    <w:pPr>
      <w:framePr w:w="7920" w:h="1980" w:hRule="exact" w:hSpace="180" w:wrap="auto" w:hAnchor="page" w:xAlign="center" w:yAlign="bottom"/>
      <w:spacing w:before="0" w:line="240" w:lineRule="auto"/>
      <w:ind w:left="2880"/>
    </w:pPr>
    <w:rPr>
      <w:rFonts w:ascii="Segoe UI Light" w:eastAsia="MS Gothic" w:hAnsi="Segoe UI Light" w:cs="Segoe UI Light"/>
      <w:sz w:val="24"/>
      <w:szCs w:val="24"/>
    </w:rPr>
  </w:style>
  <w:style w:type="paragraph" w:styleId="Adreszwrotnynakopercie">
    <w:name w:val="envelope return"/>
    <w:basedOn w:val="Normalny"/>
    <w:uiPriority w:val="99"/>
    <w:semiHidden/>
    <w:unhideWhenUsed/>
    <w:rsid w:val="00C70628"/>
    <w:pPr>
      <w:spacing w:before="0" w:line="240" w:lineRule="auto"/>
    </w:pPr>
    <w:rPr>
      <w:rFonts w:ascii="Segoe UI Light" w:eastAsia="MS Gothic" w:hAnsi="Segoe UI Light" w:cs="Segoe UI Light"/>
      <w:szCs w:val="20"/>
    </w:rPr>
  </w:style>
  <w:style w:type="character" w:styleId="Odwoanieprzypisudolnego">
    <w:name w:val="footnote reference"/>
    <w:uiPriority w:val="99"/>
    <w:semiHidden/>
    <w:unhideWhenUsed/>
    <w:rsid w:val="00C70628"/>
    <w:rPr>
      <w:rFonts w:ascii="Segoe UI" w:hAnsi="Segoe UI" w:cs="Segoe UI"/>
      <w:vertAlign w:val="superscript"/>
    </w:rPr>
  </w:style>
  <w:style w:type="paragraph" w:styleId="Tekstprzypisudolnego">
    <w:name w:val="footnote text"/>
    <w:basedOn w:val="Normalny"/>
    <w:link w:val="TekstprzypisudolnegoZnak"/>
    <w:uiPriority w:val="99"/>
    <w:semiHidden/>
    <w:unhideWhenUsed/>
    <w:rsid w:val="00C70628"/>
    <w:pPr>
      <w:spacing w:before="0" w:line="240" w:lineRule="auto"/>
    </w:pPr>
    <w:rPr>
      <w:szCs w:val="20"/>
    </w:rPr>
  </w:style>
  <w:style w:type="character" w:customStyle="1" w:styleId="TekstprzypisudolnegoZnak">
    <w:name w:val="Tekst przypisu dolnego Znak"/>
    <w:link w:val="Tekstprzypisudolnego"/>
    <w:uiPriority w:val="99"/>
    <w:semiHidden/>
    <w:rsid w:val="00C70628"/>
    <w:rPr>
      <w:rFonts w:ascii="Segoe UI" w:hAnsi="Segoe UI" w:cs="Segoe UI"/>
      <w:szCs w:val="20"/>
    </w:rPr>
  </w:style>
  <w:style w:type="table" w:styleId="Tabelasiatki1jasnaakcent2">
    <w:name w:val="Grid Table 1 Light Accent 2"/>
    <w:basedOn w:val="Standardowy"/>
    <w:uiPriority w:val="46"/>
    <w:rsid w:val="00C70628"/>
    <w:tblPr>
      <w:tblStyleRowBandSize w:val="1"/>
      <w:tblStyleColBandSize w:val="1"/>
      <w:tblBorders>
        <w:top w:val="single" w:sz="4" w:space="0" w:color="FF9999"/>
        <w:left w:val="single" w:sz="4" w:space="0" w:color="FF9999"/>
        <w:bottom w:val="single" w:sz="4" w:space="0" w:color="FF9999"/>
        <w:right w:val="single" w:sz="4" w:space="0" w:color="FF9999"/>
        <w:insideH w:val="single" w:sz="4" w:space="0" w:color="FF9999"/>
        <w:insideV w:val="single" w:sz="4" w:space="0" w:color="FF9999"/>
      </w:tblBorders>
    </w:tblPr>
    <w:tblStylePr w:type="firstRow">
      <w:rPr>
        <w:b/>
        <w:bCs/>
      </w:rPr>
      <w:tblPr/>
      <w:tcPr>
        <w:tcBorders>
          <w:bottom w:val="single" w:sz="12" w:space="0" w:color="FF6666"/>
        </w:tcBorders>
      </w:tcPr>
    </w:tblStylePr>
    <w:tblStylePr w:type="lastRow">
      <w:rPr>
        <w:b/>
        <w:bCs/>
      </w:rPr>
      <w:tblPr/>
      <w:tcPr>
        <w:tcBorders>
          <w:top w:val="double" w:sz="2" w:space="0" w:color="FF6666"/>
        </w:tcBorders>
      </w:tcPr>
    </w:tblStylePr>
    <w:tblStylePr w:type="firstCol">
      <w:rPr>
        <w:b/>
        <w:bCs/>
      </w:rPr>
    </w:tblStylePr>
    <w:tblStylePr w:type="lastCol">
      <w:rPr>
        <w:b/>
        <w:bCs/>
      </w:rPr>
    </w:tblStylePr>
  </w:style>
  <w:style w:type="table" w:styleId="Tabelasiatki1jasnaakcent3">
    <w:name w:val="Grid Table 1 Light Accent 3"/>
    <w:basedOn w:val="Standardowy"/>
    <w:uiPriority w:val="46"/>
    <w:rsid w:val="00C70628"/>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tblStylePr w:type="firstRow">
      <w:rPr>
        <w:b/>
        <w:bCs/>
      </w:rPr>
      <w:tblPr/>
      <w:tcPr>
        <w:tcBorders>
          <w:bottom w:val="single" w:sz="12" w:space="0" w:color="C9C9C9"/>
        </w:tcBorders>
      </w:tcPr>
    </w:tblStylePr>
    <w:tblStylePr w:type="lastRow">
      <w:rPr>
        <w:b/>
        <w:bCs/>
      </w:rPr>
      <w:tblPr/>
      <w:tcPr>
        <w:tcBorders>
          <w:top w:val="double" w:sz="2" w:space="0" w:color="C9C9C9"/>
        </w:tcBorders>
      </w:tcPr>
    </w:tblStylePr>
    <w:tblStylePr w:type="firstCol">
      <w:rPr>
        <w:b/>
        <w:bCs/>
      </w:rPr>
    </w:tblStylePr>
    <w:tblStylePr w:type="lastCol">
      <w:rPr>
        <w:b/>
        <w:bCs/>
      </w:rPr>
    </w:tblStylePr>
  </w:style>
  <w:style w:type="table" w:styleId="Tabelasiatki1jasnaakcent4">
    <w:name w:val="Grid Table 1 Light Accent 4"/>
    <w:basedOn w:val="Standardowy"/>
    <w:uiPriority w:val="46"/>
    <w:rsid w:val="00C70628"/>
    <w:tblPr>
      <w:tblStyleRowBandSize w:val="1"/>
      <w:tblStyleColBandSize w:val="1"/>
      <w:tblBorders>
        <w:top w:val="single" w:sz="4" w:space="0" w:color="FFE599"/>
        <w:left w:val="single" w:sz="4" w:space="0" w:color="FFE599"/>
        <w:bottom w:val="single" w:sz="4" w:space="0" w:color="FFE599"/>
        <w:right w:val="single" w:sz="4" w:space="0" w:color="FFE599"/>
        <w:insideH w:val="single" w:sz="4" w:space="0" w:color="FFE599"/>
        <w:insideV w:val="single" w:sz="4" w:space="0" w:color="FFE599"/>
      </w:tblBorders>
    </w:tblPr>
    <w:tblStylePr w:type="firstRow">
      <w:rPr>
        <w:b/>
        <w:bCs/>
      </w:rPr>
      <w:tblPr/>
      <w:tcPr>
        <w:tcBorders>
          <w:bottom w:val="single" w:sz="12" w:space="0" w:color="FFD966"/>
        </w:tcBorders>
      </w:tcPr>
    </w:tblStylePr>
    <w:tblStylePr w:type="lastRow">
      <w:rPr>
        <w:b/>
        <w:bCs/>
      </w:rPr>
      <w:tblPr/>
      <w:tcPr>
        <w:tcBorders>
          <w:top w:val="double" w:sz="2" w:space="0" w:color="FFD966"/>
        </w:tcBorders>
      </w:tcPr>
    </w:tblStylePr>
    <w:tblStylePr w:type="firstCol">
      <w:rPr>
        <w:b/>
        <w:bCs/>
      </w:rPr>
    </w:tblStylePr>
    <w:tblStylePr w:type="lastCol">
      <w:rPr>
        <w:b/>
        <w:bCs/>
      </w:rPr>
    </w:tblStylePr>
  </w:style>
  <w:style w:type="table" w:styleId="Tabelasiatki1jasnaakcent5">
    <w:name w:val="Grid Table 1 Light Accent 5"/>
    <w:basedOn w:val="Standardowy"/>
    <w:uiPriority w:val="46"/>
    <w:rsid w:val="00C70628"/>
    <w:tblPr>
      <w:tblStyleRowBandSize w:val="1"/>
      <w:tblStyleColBandSize w:val="1"/>
      <w:tblBorders>
        <w:top w:val="single" w:sz="4" w:space="0" w:color="9DB8E3"/>
        <w:left w:val="single" w:sz="4" w:space="0" w:color="9DB8E3"/>
        <w:bottom w:val="single" w:sz="4" w:space="0" w:color="9DB8E3"/>
        <w:right w:val="single" w:sz="4" w:space="0" w:color="9DB8E3"/>
        <w:insideH w:val="single" w:sz="4" w:space="0" w:color="9DB8E3"/>
        <w:insideV w:val="single" w:sz="4" w:space="0" w:color="9DB8E3"/>
      </w:tblBorders>
    </w:tblPr>
    <w:tblStylePr w:type="firstRow">
      <w:rPr>
        <w:b/>
        <w:bCs/>
      </w:rPr>
      <w:tblPr/>
      <w:tcPr>
        <w:tcBorders>
          <w:bottom w:val="single" w:sz="12" w:space="0" w:color="6C95D6"/>
        </w:tcBorders>
      </w:tcPr>
    </w:tblStylePr>
    <w:tblStylePr w:type="lastRow">
      <w:rPr>
        <w:b/>
        <w:bCs/>
      </w:rPr>
      <w:tblPr/>
      <w:tcPr>
        <w:tcBorders>
          <w:top w:val="double" w:sz="2" w:space="0" w:color="6C95D6"/>
        </w:tcBorders>
      </w:tcPr>
    </w:tblStylePr>
    <w:tblStylePr w:type="firstCol">
      <w:rPr>
        <w:b/>
        <w:bCs/>
      </w:rPr>
    </w:tblStylePr>
    <w:tblStylePr w:type="lastCol">
      <w:rPr>
        <w:b/>
        <w:bCs/>
      </w:rPr>
    </w:tblStylePr>
  </w:style>
  <w:style w:type="table" w:styleId="Tabelasiatki2">
    <w:name w:val="Grid Table 2"/>
    <w:basedOn w:val="Standardowy"/>
    <w:uiPriority w:val="47"/>
    <w:rsid w:val="00C70628"/>
    <w:tblPr>
      <w:tblStyleRowBandSize w:val="1"/>
      <w:tblStyleColBandSize w:val="1"/>
      <w:tblBorders>
        <w:top w:val="single" w:sz="2" w:space="0" w:color="666666"/>
        <w:bottom w:val="single" w:sz="2" w:space="0" w:color="666666"/>
        <w:insideH w:val="single" w:sz="2" w:space="0" w:color="666666"/>
        <w:insideV w:val="single" w:sz="2" w:space="0" w:color="666666"/>
      </w:tblBorders>
    </w:tblPr>
    <w:tblStylePr w:type="firstRow">
      <w:rPr>
        <w:b/>
        <w:bCs/>
      </w:rPr>
      <w:tblPr/>
      <w:tcPr>
        <w:tcBorders>
          <w:top w:val="nil"/>
          <w:bottom w:val="single" w:sz="12" w:space="0" w:color="666666"/>
          <w:insideH w:val="nil"/>
          <w:insideV w:val="nil"/>
        </w:tcBorders>
        <w:shd w:val="clear" w:color="auto" w:fill="FFFFFF"/>
      </w:tcPr>
    </w:tblStylePr>
    <w:tblStylePr w:type="lastRow">
      <w:rPr>
        <w:b/>
        <w:bCs/>
      </w:rPr>
      <w:tblPr/>
      <w:tcPr>
        <w:tcBorders>
          <w:top w:val="double" w:sz="2" w:space="0" w:color="66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siatki2akcent1">
    <w:name w:val="Grid Table 2 Accent 1"/>
    <w:basedOn w:val="Standardowy"/>
    <w:uiPriority w:val="47"/>
    <w:rsid w:val="00C70628"/>
    <w:tblPr>
      <w:tblStyleRowBandSize w:val="1"/>
      <w:tblStyleColBandSize w:val="1"/>
      <w:tblBorders>
        <w:top w:val="single" w:sz="2" w:space="0" w:color="9CC2E5"/>
        <w:bottom w:val="single" w:sz="2" w:space="0" w:color="9CC2E5"/>
        <w:insideH w:val="single" w:sz="2" w:space="0" w:color="9CC2E5"/>
        <w:insideV w:val="single" w:sz="2" w:space="0" w:color="9CC2E5"/>
      </w:tblBorders>
    </w:tblPr>
    <w:tblStylePr w:type="firstRow">
      <w:rPr>
        <w:b/>
        <w:bCs/>
      </w:rPr>
      <w:tblPr/>
      <w:tcPr>
        <w:tcBorders>
          <w:top w:val="nil"/>
          <w:bottom w:val="single" w:sz="12" w:space="0" w:color="9CC2E5"/>
          <w:insideH w:val="nil"/>
          <w:insideV w:val="nil"/>
        </w:tcBorders>
        <w:shd w:val="clear" w:color="auto" w:fill="FFFFFF"/>
      </w:tcPr>
    </w:tblStylePr>
    <w:tblStylePr w:type="lastRow">
      <w:rPr>
        <w:b/>
        <w:bCs/>
      </w:rPr>
      <w:tblPr/>
      <w:tcPr>
        <w:tcBorders>
          <w:top w:val="double" w:sz="2" w:space="0" w:color="9CC2E5"/>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siatki2akcent2">
    <w:name w:val="Grid Table 2 Accent 2"/>
    <w:basedOn w:val="Standardowy"/>
    <w:uiPriority w:val="47"/>
    <w:rsid w:val="00C70628"/>
    <w:tblPr>
      <w:tblStyleRowBandSize w:val="1"/>
      <w:tblStyleColBandSize w:val="1"/>
      <w:tblBorders>
        <w:top w:val="single" w:sz="2" w:space="0" w:color="FF6666"/>
        <w:bottom w:val="single" w:sz="2" w:space="0" w:color="FF6666"/>
        <w:insideH w:val="single" w:sz="2" w:space="0" w:color="FF6666"/>
        <w:insideV w:val="single" w:sz="2" w:space="0" w:color="FF6666"/>
      </w:tblBorders>
    </w:tblPr>
    <w:tblStylePr w:type="firstRow">
      <w:rPr>
        <w:b/>
        <w:bCs/>
      </w:rPr>
      <w:tblPr/>
      <w:tcPr>
        <w:tcBorders>
          <w:top w:val="nil"/>
          <w:bottom w:val="single" w:sz="12" w:space="0" w:color="FF6666"/>
          <w:insideH w:val="nil"/>
          <w:insideV w:val="nil"/>
        </w:tcBorders>
        <w:shd w:val="clear" w:color="auto" w:fill="FFFFFF"/>
      </w:tcPr>
    </w:tblStylePr>
    <w:tblStylePr w:type="lastRow">
      <w:rPr>
        <w:b/>
        <w:bCs/>
      </w:rPr>
      <w:tblPr/>
      <w:tcPr>
        <w:tcBorders>
          <w:top w:val="double" w:sz="2" w:space="0" w:color="FF66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siatki2akcent3">
    <w:name w:val="Grid Table 2 Accent 3"/>
    <w:basedOn w:val="Standardowy"/>
    <w:uiPriority w:val="47"/>
    <w:rsid w:val="00C70628"/>
    <w:tblPr>
      <w:tblStyleRowBandSize w:val="1"/>
      <w:tblStyleColBandSize w:val="1"/>
      <w:tblBorders>
        <w:top w:val="single" w:sz="2" w:space="0" w:color="C9C9C9"/>
        <w:bottom w:val="single" w:sz="2" w:space="0" w:color="C9C9C9"/>
        <w:insideH w:val="single" w:sz="2" w:space="0" w:color="C9C9C9"/>
        <w:insideV w:val="single" w:sz="2" w:space="0" w:color="C9C9C9"/>
      </w:tblBorders>
    </w:tblPr>
    <w:tblStylePr w:type="firstRow">
      <w:rPr>
        <w:b/>
        <w:bCs/>
      </w:rPr>
      <w:tblPr/>
      <w:tcPr>
        <w:tcBorders>
          <w:top w:val="nil"/>
          <w:bottom w:val="single" w:sz="12" w:space="0" w:color="C9C9C9"/>
          <w:insideH w:val="nil"/>
          <w:insideV w:val="nil"/>
        </w:tcBorders>
        <w:shd w:val="clear" w:color="auto" w:fill="FFFFFF"/>
      </w:tcPr>
    </w:tblStylePr>
    <w:tblStylePr w:type="lastRow">
      <w:rPr>
        <w:b/>
        <w:bCs/>
      </w:rPr>
      <w:tblPr/>
      <w:tcPr>
        <w:tcBorders>
          <w:top w:val="double" w:sz="2" w:space="0" w:color="C9C9C9"/>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i2akcent4">
    <w:name w:val="Grid Table 2 Accent 4"/>
    <w:basedOn w:val="Standardowy"/>
    <w:uiPriority w:val="47"/>
    <w:rsid w:val="00C70628"/>
    <w:tblPr>
      <w:tblStyleRowBandSize w:val="1"/>
      <w:tblStyleColBandSize w:val="1"/>
      <w:tblBorders>
        <w:top w:val="single" w:sz="2" w:space="0" w:color="FFD966"/>
        <w:bottom w:val="single" w:sz="2" w:space="0" w:color="FFD966"/>
        <w:insideH w:val="single" w:sz="2" w:space="0" w:color="FFD966"/>
        <w:insideV w:val="single" w:sz="2" w:space="0" w:color="FFD966"/>
      </w:tblBorders>
    </w:tblPr>
    <w:tblStylePr w:type="firstRow">
      <w:rPr>
        <w:b/>
        <w:bCs/>
      </w:rPr>
      <w:tblPr/>
      <w:tcPr>
        <w:tcBorders>
          <w:top w:val="nil"/>
          <w:bottom w:val="single" w:sz="12" w:space="0" w:color="FFD966"/>
          <w:insideH w:val="nil"/>
          <w:insideV w:val="nil"/>
        </w:tcBorders>
        <w:shd w:val="clear" w:color="auto" w:fill="FFFFFF"/>
      </w:tcPr>
    </w:tblStylePr>
    <w:tblStylePr w:type="lastRow">
      <w:rPr>
        <w:b/>
        <w:bCs/>
      </w:rPr>
      <w:tblPr/>
      <w:tcPr>
        <w:tcBorders>
          <w:top w:val="double" w:sz="2" w:space="0" w:color="FFD96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siatki2akcent5">
    <w:name w:val="Grid Table 2 Accent 5"/>
    <w:basedOn w:val="Standardowy"/>
    <w:uiPriority w:val="47"/>
    <w:rsid w:val="00C70628"/>
    <w:tblPr>
      <w:tblStyleRowBandSize w:val="1"/>
      <w:tblStyleColBandSize w:val="1"/>
      <w:tblBorders>
        <w:top w:val="single" w:sz="2" w:space="0" w:color="6C95D6"/>
        <w:bottom w:val="single" w:sz="2" w:space="0" w:color="6C95D6"/>
        <w:insideH w:val="single" w:sz="2" w:space="0" w:color="6C95D6"/>
        <w:insideV w:val="single" w:sz="2" w:space="0" w:color="6C95D6"/>
      </w:tblBorders>
    </w:tblPr>
    <w:tblStylePr w:type="firstRow">
      <w:rPr>
        <w:b/>
        <w:bCs/>
      </w:rPr>
      <w:tblPr/>
      <w:tcPr>
        <w:tcBorders>
          <w:top w:val="nil"/>
          <w:bottom w:val="single" w:sz="12" w:space="0" w:color="6C95D6"/>
          <w:insideH w:val="nil"/>
          <w:insideV w:val="nil"/>
        </w:tcBorders>
        <w:shd w:val="clear" w:color="auto" w:fill="FFFFFF"/>
      </w:tcPr>
    </w:tblStylePr>
    <w:tblStylePr w:type="lastRow">
      <w:rPr>
        <w:b/>
        <w:bCs/>
      </w:rPr>
      <w:tblPr/>
      <w:tcPr>
        <w:tcBorders>
          <w:top w:val="double" w:sz="2" w:space="0" w:color="6C95D6"/>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siatki2akcent6">
    <w:name w:val="Grid Table 2 Accent 6"/>
    <w:basedOn w:val="Standardowy"/>
    <w:uiPriority w:val="47"/>
    <w:rsid w:val="00C70628"/>
    <w:tblPr>
      <w:tblStyleRowBandSize w:val="1"/>
      <w:tblStyleColBandSize w:val="1"/>
      <w:tblBorders>
        <w:top w:val="single" w:sz="2" w:space="0" w:color="A8D08D"/>
        <w:bottom w:val="single" w:sz="2" w:space="0" w:color="A8D08D"/>
        <w:insideH w:val="single" w:sz="2" w:space="0" w:color="A8D08D"/>
        <w:insideV w:val="single" w:sz="2" w:space="0" w:color="A8D08D"/>
      </w:tblBorders>
    </w:tblPr>
    <w:tblStylePr w:type="firstRow">
      <w:rPr>
        <w:b/>
        <w:bCs/>
      </w:rPr>
      <w:tblPr/>
      <w:tcPr>
        <w:tcBorders>
          <w:top w:val="nil"/>
          <w:bottom w:val="single" w:sz="12" w:space="0" w:color="A8D08D"/>
          <w:insideH w:val="nil"/>
          <w:insideV w:val="nil"/>
        </w:tcBorders>
        <w:shd w:val="clear" w:color="auto" w:fill="FFFFFF"/>
      </w:tcPr>
    </w:tblStylePr>
    <w:tblStylePr w:type="lastRow">
      <w:rPr>
        <w:b/>
        <w:bCs/>
      </w:rPr>
      <w:tblPr/>
      <w:tcPr>
        <w:tcBorders>
          <w:top w:val="double" w:sz="2" w:space="0" w:color="A8D08D"/>
          <w:bottom w:val="nil"/>
          <w:insideH w:val="nil"/>
          <w:insideV w:val="nil"/>
        </w:tcBorders>
        <w:shd w:val="clear" w:color="auto" w:fill="FFFFFF"/>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siatki3">
    <w:name w:val="Grid Table 3"/>
    <w:basedOn w:val="Standardowy"/>
    <w:uiPriority w:val="48"/>
    <w:rsid w:val="00C7062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Tabelasiatki3akcent1">
    <w:name w:val="Grid Table 3 Accent 1"/>
    <w:basedOn w:val="Standardowy"/>
    <w:uiPriority w:val="48"/>
    <w:rsid w:val="00C7062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Tabelasiatki3akcent2">
    <w:name w:val="Grid Table 3 Accent 2"/>
    <w:basedOn w:val="Standardowy"/>
    <w:uiPriority w:val="48"/>
    <w:rsid w:val="00C70628"/>
    <w:tblPr>
      <w:tblStyleRowBandSize w:val="1"/>
      <w:tblStyleColBandSize w:val="1"/>
      <w:tblBorders>
        <w:top w:val="single" w:sz="4" w:space="0" w:color="FF6666"/>
        <w:left w:val="single" w:sz="4" w:space="0" w:color="FF6666"/>
        <w:bottom w:val="single" w:sz="4" w:space="0" w:color="FF6666"/>
        <w:right w:val="single" w:sz="4" w:space="0" w:color="FF6666"/>
        <w:insideH w:val="single" w:sz="4" w:space="0" w:color="FF6666"/>
        <w:insideV w:val="single" w:sz="4" w:space="0" w:color="FF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CCCC"/>
      </w:tcPr>
    </w:tblStylePr>
    <w:tblStylePr w:type="band1Horz">
      <w:tblPr/>
      <w:tcPr>
        <w:shd w:val="clear" w:color="auto" w:fill="FFCCCC"/>
      </w:tcPr>
    </w:tblStylePr>
    <w:tblStylePr w:type="neCell">
      <w:tblPr/>
      <w:tcPr>
        <w:tcBorders>
          <w:bottom w:val="single" w:sz="4" w:space="0" w:color="FF6666"/>
        </w:tcBorders>
      </w:tcPr>
    </w:tblStylePr>
    <w:tblStylePr w:type="nwCell">
      <w:tblPr/>
      <w:tcPr>
        <w:tcBorders>
          <w:bottom w:val="single" w:sz="4" w:space="0" w:color="FF6666"/>
        </w:tcBorders>
      </w:tcPr>
    </w:tblStylePr>
    <w:tblStylePr w:type="seCell">
      <w:tblPr/>
      <w:tcPr>
        <w:tcBorders>
          <w:top w:val="single" w:sz="4" w:space="0" w:color="FF6666"/>
        </w:tcBorders>
      </w:tcPr>
    </w:tblStylePr>
    <w:tblStylePr w:type="swCell">
      <w:tblPr/>
      <w:tcPr>
        <w:tcBorders>
          <w:top w:val="single" w:sz="4" w:space="0" w:color="FF6666"/>
        </w:tcBorders>
      </w:tcPr>
    </w:tblStylePr>
  </w:style>
  <w:style w:type="table" w:styleId="Tabelasiatki3akcent3">
    <w:name w:val="Grid Table 3 Accent 3"/>
    <w:basedOn w:val="Standardowy"/>
    <w:uiPriority w:val="48"/>
    <w:rsid w:val="00C7062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Tabelasiatki3akcent4">
    <w:name w:val="Grid Table 3 Accent 4"/>
    <w:basedOn w:val="Standardowy"/>
    <w:uiPriority w:val="48"/>
    <w:rsid w:val="00C7062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Tabelasiatki3akcent5">
    <w:name w:val="Grid Table 3 Accent 5"/>
    <w:basedOn w:val="Standardowy"/>
    <w:uiPriority w:val="48"/>
    <w:rsid w:val="00C70628"/>
    <w:tblPr>
      <w:tblStyleRowBandSize w:val="1"/>
      <w:tblStyleColBandSize w:val="1"/>
      <w:tblBorders>
        <w:top w:val="single" w:sz="4" w:space="0" w:color="6C95D6"/>
        <w:left w:val="single" w:sz="4" w:space="0" w:color="6C95D6"/>
        <w:bottom w:val="single" w:sz="4" w:space="0" w:color="6C95D6"/>
        <w:right w:val="single" w:sz="4" w:space="0" w:color="6C95D6"/>
        <w:insideH w:val="single" w:sz="4" w:space="0" w:color="6C95D6"/>
        <w:insideV w:val="single" w:sz="4" w:space="0" w:color="6C95D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EDBF1"/>
      </w:tcPr>
    </w:tblStylePr>
    <w:tblStylePr w:type="band1Horz">
      <w:tblPr/>
      <w:tcPr>
        <w:shd w:val="clear" w:color="auto" w:fill="CEDBF1"/>
      </w:tcPr>
    </w:tblStylePr>
    <w:tblStylePr w:type="neCell">
      <w:tblPr/>
      <w:tcPr>
        <w:tcBorders>
          <w:bottom w:val="single" w:sz="4" w:space="0" w:color="6C95D6"/>
        </w:tcBorders>
      </w:tcPr>
    </w:tblStylePr>
    <w:tblStylePr w:type="nwCell">
      <w:tblPr/>
      <w:tcPr>
        <w:tcBorders>
          <w:bottom w:val="single" w:sz="4" w:space="0" w:color="6C95D6"/>
        </w:tcBorders>
      </w:tcPr>
    </w:tblStylePr>
    <w:tblStylePr w:type="seCell">
      <w:tblPr/>
      <w:tcPr>
        <w:tcBorders>
          <w:top w:val="single" w:sz="4" w:space="0" w:color="6C95D6"/>
        </w:tcBorders>
      </w:tcPr>
    </w:tblStylePr>
    <w:tblStylePr w:type="swCell">
      <w:tblPr/>
      <w:tcPr>
        <w:tcBorders>
          <w:top w:val="single" w:sz="4" w:space="0" w:color="6C95D6"/>
        </w:tcBorders>
      </w:tcPr>
    </w:tblStylePr>
  </w:style>
  <w:style w:type="table" w:styleId="Tabelasiatki3akcent6">
    <w:name w:val="Grid Table 3 Accent 6"/>
    <w:basedOn w:val="Standardowy"/>
    <w:uiPriority w:val="48"/>
    <w:rsid w:val="00C7062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table" w:styleId="Tabelasiatki4akcent1">
    <w:name w:val="Grid Table 4 Accent 1"/>
    <w:basedOn w:val="Standardowy"/>
    <w:uiPriority w:val="49"/>
    <w:rsid w:val="00C7062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siatki4akcent2">
    <w:name w:val="Grid Table 4 Accent 2"/>
    <w:basedOn w:val="Standardowy"/>
    <w:uiPriority w:val="49"/>
    <w:rsid w:val="00C70628"/>
    <w:tblPr>
      <w:tblStyleRowBandSize w:val="1"/>
      <w:tblStyleColBandSize w:val="1"/>
      <w:tblBorders>
        <w:top w:val="single" w:sz="4" w:space="0" w:color="FF6666"/>
        <w:left w:val="single" w:sz="4" w:space="0" w:color="FF6666"/>
        <w:bottom w:val="single" w:sz="4" w:space="0" w:color="FF6666"/>
        <w:right w:val="single" w:sz="4" w:space="0" w:color="FF6666"/>
        <w:insideH w:val="single" w:sz="4" w:space="0" w:color="FF6666"/>
        <w:insideV w:val="single" w:sz="4" w:space="0" w:color="FF6666"/>
      </w:tblBorders>
    </w:tblPr>
    <w:tblStylePr w:type="firstRow">
      <w:rPr>
        <w:b/>
        <w:bCs/>
        <w:color w:val="FFFFFF"/>
      </w:rPr>
      <w:tblPr/>
      <w:tcPr>
        <w:tcBorders>
          <w:top w:val="single" w:sz="4" w:space="0" w:color="FF0000"/>
          <w:left w:val="single" w:sz="4" w:space="0" w:color="FF0000"/>
          <w:bottom w:val="single" w:sz="4" w:space="0" w:color="FF0000"/>
          <w:right w:val="single" w:sz="4" w:space="0" w:color="FF0000"/>
          <w:insideH w:val="nil"/>
          <w:insideV w:val="nil"/>
        </w:tcBorders>
        <w:shd w:val="clear" w:color="auto" w:fill="FF0000"/>
      </w:tcPr>
    </w:tblStylePr>
    <w:tblStylePr w:type="lastRow">
      <w:rPr>
        <w:b/>
        <w:bCs/>
      </w:rPr>
      <w:tblPr/>
      <w:tcPr>
        <w:tcBorders>
          <w:top w:val="double" w:sz="4" w:space="0" w:color="FF0000"/>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siatki4akcent3">
    <w:name w:val="Grid Table 4 Accent 3"/>
    <w:basedOn w:val="Standardowy"/>
    <w:uiPriority w:val="49"/>
    <w:rsid w:val="00C7062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insideV w:val="nil"/>
        </w:tcBorders>
        <w:shd w:val="clear" w:color="auto" w:fill="A5A5A5"/>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i4akcent4">
    <w:name w:val="Grid Table 4 Accent 4"/>
    <w:basedOn w:val="Standardowy"/>
    <w:uiPriority w:val="49"/>
    <w:rsid w:val="00C7062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insideV w:val="nil"/>
        </w:tcBorders>
        <w:shd w:val="clear" w:color="auto" w:fill="FFC000"/>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siatki4akcent6">
    <w:name w:val="Grid Table 4 Accent 6"/>
    <w:basedOn w:val="Standardowy"/>
    <w:uiPriority w:val="49"/>
    <w:rsid w:val="00C7062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insideV w:val="nil"/>
        </w:tcBorders>
        <w:shd w:val="clear" w:color="auto" w:fill="70AD47"/>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siatki5ciemnaakcent1">
    <w:name w:val="Grid Table 5 Dark Accent 1"/>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DEEAF6"/>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5B9BD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5B9BD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5B9BD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5B9BD5"/>
      </w:tcPr>
    </w:tblStylePr>
    <w:tblStylePr w:type="band1Vert">
      <w:tblPr/>
      <w:tcPr>
        <w:shd w:val="clear" w:color="auto" w:fill="BDD6EE"/>
      </w:tcPr>
    </w:tblStylePr>
    <w:tblStylePr w:type="band1Horz">
      <w:tblPr/>
      <w:tcPr>
        <w:shd w:val="clear" w:color="auto" w:fill="BDD6EE"/>
      </w:tcPr>
    </w:tblStylePr>
  </w:style>
  <w:style w:type="table" w:styleId="Tabelasiatki5ciemnaakcent2">
    <w:name w:val="Grid Table 5 Dark Accent 2"/>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CC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0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0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0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0000"/>
      </w:tcPr>
    </w:tblStylePr>
    <w:tblStylePr w:type="band1Vert">
      <w:tblPr/>
      <w:tcPr>
        <w:shd w:val="clear" w:color="auto" w:fill="FF9999"/>
      </w:tcPr>
    </w:tblStylePr>
    <w:tblStylePr w:type="band1Horz">
      <w:tblPr/>
      <w:tcPr>
        <w:shd w:val="clear" w:color="auto" w:fill="FF9999"/>
      </w:tcPr>
    </w:tblStylePr>
  </w:style>
  <w:style w:type="table" w:styleId="Tabelasiatki5ciemnaakcent3">
    <w:name w:val="Grid Table 5 Dark Accent 3"/>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DEDED"/>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A5A5A5"/>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A5A5A5"/>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A5A5A5"/>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A5A5A5"/>
      </w:tcPr>
    </w:tblStylePr>
    <w:tblStylePr w:type="band1Vert">
      <w:tblPr/>
      <w:tcPr>
        <w:shd w:val="clear" w:color="auto" w:fill="DBDBDB"/>
      </w:tcPr>
    </w:tblStylePr>
    <w:tblStylePr w:type="band1Horz">
      <w:tblPr/>
      <w:tcPr>
        <w:shd w:val="clear" w:color="auto" w:fill="DBDBDB"/>
      </w:tcPr>
    </w:tblStylePr>
  </w:style>
  <w:style w:type="table" w:styleId="Tabelasiatki5ciemnaakcent4">
    <w:name w:val="Grid Table 5 Dark Accent 4"/>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FF2CC"/>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FFC000"/>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FFC000"/>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FFC000"/>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FFC000"/>
      </w:tcPr>
    </w:tblStylePr>
    <w:tblStylePr w:type="band1Vert">
      <w:tblPr/>
      <w:tcPr>
        <w:shd w:val="clear" w:color="auto" w:fill="FFE599"/>
      </w:tcPr>
    </w:tblStylePr>
    <w:tblStylePr w:type="band1Horz">
      <w:tblPr/>
      <w:tcPr>
        <w:shd w:val="clear" w:color="auto" w:fill="FFE599"/>
      </w:tcPr>
    </w:tblStylePr>
  </w:style>
  <w:style w:type="table" w:styleId="Tabelasiatki5ciemnaakcent5">
    <w:name w:val="Grid Table 5 Dark Accent 5"/>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CEDBF1"/>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2B579A"/>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2B579A"/>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2B579A"/>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2B579A"/>
      </w:tcPr>
    </w:tblStylePr>
    <w:tblStylePr w:type="band1Vert">
      <w:tblPr/>
      <w:tcPr>
        <w:shd w:val="clear" w:color="auto" w:fill="9DB8E3"/>
      </w:tcPr>
    </w:tblStylePr>
    <w:tblStylePr w:type="band1Horz">
      <w:tblPr/>
      <w:tcPr>
        <w:shd w:val="clear" w:color="auto" w:fill="9DB8E3"/>
      </w:tcPr>
    </w:tblStylePr>
  </w:style>
  <w:style w:type="table" w:styleId="Tabelasiatki5ciemnaakcent6">
    <w:name w:val="Grid Table 5 Dark Accent 6"/>
    <w:basedOn w:val="Standardowy"/>
    <w:uiPriority w:val="50"/>
    <w:rsid w:val="00C70628"/>
    <w:tblPr>
      <w:tblStyleRowBandSize w:val="1"/>
      <w:tblStyleColBandSize w:val="1"/>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E2EFD9"/>
    </w:tcPr>
    <w:tblStylePr w:type="firstRow">
      <w:rPr>
        <w:b/>
        <w:bCs/>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bCs/>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bCs/>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bCs/>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styleId="Tabelasiatki6kolorowa">
    <w:name w:val="Grid Table 6 Colorful"/>
    <w:basedOn w:val="Standardowy"/>
    <w:uiPriority w:val="51"/>
    <w:rsid w:val="00C7062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siatki6kolorowaakcent1">
    <w:name w:val="Grid Table 6 Colorful Accent 1"/>
    <w:basedOn w:val="Standardowy"/>
    <w:uiPriority w:val="51"/>
    <w:rsid w:val="00C70628"/>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bottom w:val="single" w:sz="12" w:space="0" w:color="9CC2E5"/>
        </w:tcBorders>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siatki6kolorowaakcent2">
    <w:name w:val="Grid Table 6 Colorful Accent 2"/>
    <w:basedOn w:val="Standardowy"/>
    <w:uiPriority w:val="51"/>
    <w:rsid w:val="00C70628"/>
    <w:rPr>
      <w:color w:val="BF0000"/>
    </w:rPr>
    <w:tblPr>
      <w:tblStyleRowBandSize w:val="1"/>
      <w:tblStyleColBandSize w:val="1"/>
      <w:tblBorders>
        <w:top w:val="single" w:sz="4" w:space="0" w:color="FF6666"/>
        <w:left w:val="single" w:sz="4" w:space="0" w:color="FF6666"/>
        <w:bottom w:val="single" w:sz="4" w:space="0" w:color="FF6666"/>
        <w:right w:val="single" w:sz="4" w:space="0" w:color="FF6666"/>
        <w:insideH w:val="single" w:sz="4" w:space="0" w:color="FF6666"/>
        <w:insideV w:val="single" w:sz="4" w:space="0" w:color="FF6666"/>
      </w:tblBorders>
    </w:tblPr>
    <w:tblStylePr w:type="firstRow">
      <w:rPr>
        <w:b/>
        <w:bCs/>
      </w:rPr>
      <w:tblPr/>
      <w:tcPr>
        <w:tcBorders>
          <w:bottom w:val="single" w:sz="12" w:space="0" w:color="FF6666"/>
        </w:tcBorders>
      </w:tcPr>
    </w:tblStylePr>
    <w:tblStylePr w:type="lastRow">
      <w:rPr>
        <w:b/>
        <w:bCs/>
      </w:rPr>
      <w:tblPr/>
      <w:tcPr>
        <w:tcBorders>
          <w:top w:val="double" w:sz="4" w:space="0" w:color="FF6666"/>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siatki6kolorowaakcent3">
    <w:name w:val="Grid Table 6 Colorful Accent 3"/>
    <w:basedOn w:val="Standardowy"/>
    <w:uiPriority w:val="51"/>
    <w:rsid w:val="00C70628"/>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bottom w:val="single" w:sz="12" w:space="0" w:color="C9C9C9"/>
        </w:tcBorders>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siatki6kolorowaakcent4">
    <w:name w:val="Grid Table 6 Colorful Accent 4"/>
    <w:basedOn w:val="Standardowy"/>
    <w:uiPriority w:val="51"/>
    <w:rsid w:val="00C70628"/>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bottom w:val="single" w:sz="12" w:space="0" w:color="FFD966"/>
        </w:tcBorders>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siatki6kolorowaakcent5">
    <w:name w:val="Grid Table 6 Colorful Accent 5"/>
    <w:basedOn w:val="Standardowy"/>
    <w:uiPriority w:val="51"/>
    <w:rsid w:val="00C70628"/>
    <w:rPr>
      <w:color w:val="204173"/>
    </w:rPr>
    <w:tblPr>
      <w:tblStyleRowBandSize w:val="1"/>
      <w:tblStyleColBandSize w:val="1"/>
      <w:tblBorders>
        <w:top w:val="single" w:sz="4" w:space="0" w:color="6C95D6"/>
        <w:left w:val="single" w:sz="4" w:space="0" w:color="6C95D6"/>
        <w:bottom w:val="single" w:sz="4" w:space="0" w:color="6C95D6"/>
        <w:right w:val="single" w:sz="4" w:space="0" w:color="6C95D6"/>
        <w:insideH w:val="single" w:sz="4" w:space="0" w:color="6C95D6"/>
        <w:insideV w:val="single" w:sz="4" w:space="0" w:color="6C95D6"/>
      </w:tblBorders>
    </w:tblPr>
    <w:tblStylePr w:type="firstRow">
      <w:rPr>
        <w:b/>
        <w:bCs/>
      </w:rPr>
      <w:tblPr/>
      <w:tcPr>
        <w:tcBorders>
          <w:bottom w:val="single" w:sz="12" w:space="0" w:color="6C95D6"/>
        </w:tcBorders>
      </w:tcPr>
    </w:tblStylePr>
    <w:tblStylePr w:type="lastRow">
      <w:rPr>
        <w:b/>
        <w:bCs/>
      </w:rPr>
      <w:tblPr/>
      <w:tcPr>
        <w:tcBorders>
          <w:top w:val="double" w:sz="4" w:space="0" w:color="6C95D6"/>
        </w:tcBorders>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siatki6kolorowaakcent6">
    <w:name w:val="Grid Table 6 Colorful Accent 6"/>
    <w:basedOn w:val="Standardowy"/>
    <w:uiPriority w:val="51"/>
    <w:rsid w:val="00C70628"/>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bottom w:val="single" w:sz="12" w:space="0" w:color="A8D08D"/>
        </w:tcBorders>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siatki7kolorowa">
    <w:name w:val="Grid Table 7 Colorful"/>
    <w:basedOn w:val="Standardowy"/>
    <w:uiPriority w:val="52"/>
    <w:rsid w:val="00C70628"/>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bottom w:val="single" w:sz="4" w:space="0" w:color="666666"/>
        </w:tcBorders>
      </w:tcPr>
    </w:tblStylePr>
    <w:tblStylePr w:type="nwCell">
      <w:tblPr/>
      <w:tcPr>
        <w:tcBorders>
          <w:bottom w:val="single" w:sz="4" w:space="0" w:color="666666"/>
        </w:tcBorders>
      </w:tcPr>
    </w:tblStylePr>
    <w:tblStylePr w:type="seCell">
      <w:tblPr/>
      <w:tcPr>
        <w:tcBorders>
          <w:top w:val="single" w:sz="4" w:space="0" w:color="666666"/>
        </w:tcBorders>
      </w:tcPr>
    </w:tblStylePr>
    <w:tblStylePr w:type="swCell">
      <w:tblPr/>
      <w:tcPr>
        <w:tcBorders>
          <w:top w:val="single" w:sz="4" w:space="0" w:color="666666"/>
        </w:tcBorders>
      </w:tcPr>
    </w:tblStylePr>
  </w:style>
  <w:style w:type="table" w:styleId="Tabelasiatki7kolorowaakcent1">
    <w:name w:val="Grid Table 7 Colorful Accent 1"/>
    <w:basedOn w:val="Standardowy"/>
    <w:uiPriority w:val="52"/>
    <w:rsid w:val="00C70628"/>
    <w:rPr>
      <w:color w:val="2E74B5"/>
    </w:rPr>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bottom w:val="single" w:sz="4" w:space="0" w:color="9CC2E5"/>
        </w:tcBorders>
      </w:tcPr>
    </w:tblStylePr>
    <w:tblStylePr w:type="nwCell">
      <w:tblPr/>
      <w:tcPr>
        <w:tcBorders>
          <w:bottom w:val="single" w:sz="4" w:space="0" w:color="9CC2E5"/>
        </w:tcBorders>
      </w:tcPr>
    </w:tblStylePr>
    <w:tblStylePr w:type="seCell">
      <w:tblPr/>
      <w:tcPr>
        <w:tcBorders>
          <w:top w:val="single" w:sz="4" w:space="0" w:color="9CC2E5"/>
        </w:tcBorders>
      </w:tcPr>
    </w:tblStylePr>
    <w:tblStylePr w:type="swCell">
      <w:tblPr/>
      <w:tcPr>
        <w:tcBorders>
          <w:top w:val="single" w:sz="4" w:space="0" w:color="9CC2E5"/>
        </w:tcBorders>
      </w:tcPr>
    </w:tblStylePr>
  </w:style>
  <w:style w:type="table" w:styleId="Tabelasiatki7kolorowaakcent2">
    <w:name w:val="Grid Table 7 Colorful Accent 2"/>
    <w:basedOn w:val="Standardowy"/>
    <w:uiPriority w:val="52"/>
    <w:rsid w:val="00C70628"/>
    <w:rPr>
      <w:color w:val="BF0000"/>
    </w:rPr>
    <w:tblPr>
      <w:tblStyleRowBandSize w:val="1"/>
      <w:tblStyleColBandSize w:val="1"/>
      <w:tblBorders>
        <w:top w:val="single" w:sz="4" w:space="0" w:color="FF6666"/>
        <w:left w:val="single" w:sz="4" w:space="0" w:color="FF6666"/>
        <w:bottom w:val="single" w:sz="4" w:space="0" w:color="FF6666"/>
        <w:right w:val="single" w:sz="4" w:space="0" w:color="FF6666"/>
        <w:insideH w:val="single" w:sz="4" w:space="0" w:color="FF6666"/>
        <w:insideV w:val="single" w:sz="4" w:space="0" w:color="FF66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CCCC"/>
      </w:tcPr>
    </w:tblStylePr>
    <w:tblStylePr w:type="band1Horz">
      <w:tblPr/>
      <w:tcPr>
        <w:shd w:val="clear" w:color="auto" w:fill="FFCCCC"/>
      </w:tcPr>
    </w:tblStylePr>
    <w:tblStylePr w:type="neCell">
      <w:tblPr/>
      <w:tcPr>
        <w:tcBorders>
          <w:bottom w:val="single" w:sz="4" w:space="0" w:color="FF6666"/>
        </w:tcBorders>
      </w:tcPr>
    </w:tblStylePr>
    <w:tblStylePr w:type="nwCell">
      <w:tblPr/>
      <w:tcPr>
        <w:tcBorders>
          <w:bottom w:val="single" w:sz="4" w:space="0" w:color="FF6666"/>
        </w:tcBorders>
      </w:tcPr>
    </w:tblStylePr>
    <w:tblStylePr w:type="seCell">
      <w:tblPr/>
      <w:tcPr>
        <w:tcBorders>
          <w:top w:val="single" w:sz="4" w:space="0" w:color="FF6666"/>
        </w:tcBorders>
      </w:tcPr>
    </w:tblStylePr>
    <w:tblStylePr w:type="swCell">
      <w:tblPr/>
      <w:tcPr>
        <w:tcBorders>
          <w:top w:val="single" w:sz="4" w:space="0" w:color="FF6666"/>
        </w:tcBorders>
      </w:tcPr>
    </w:tblStylePr>
  </w:style>
  <w:style w:type="table" w:styleId="Tabelasiatki7kolorowaakcent3">
    <w:name w:val="Grid Table 7 Colorful Accent 3"/>
    <w:basedOn w:val="Standardowy"/>
    <w:uiPriority w:val="52"/>
    <w:rsid w:val="00C70628"/>
    <w:rPr>
      <w:color w:val="7B7B7B"/>
    </w:rPr>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insideV w:val="single" w:sz="4" w:space="0" w:color="C9C9C9"/>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bottom w:val="single" w:sz="4" w:space="0" w:color="C9C9C9"/>
        </w:tcBorders>
      </w:tcPr>
    </w:tblStylePr>
    <w:tblStylePr w:type="nwCell">
      <w:tblPr/>
      <w:tcPr>
        <w:tcBorders>
          <w:bottom w:val="single" w:sz="4" w:space="0" w:color="C9C9C9"/>
        </w:tcBorders>
      </w:tcPr>
    </w:tblStylePr>
    <w:tblStylePr w:type="seCell">
      <w:tblPr/>
      <w:tcPr>
        <w:tcBorders>
          <w:top w:val="single" w:sz="4" w:space="0" w:color="C9C9C9"/>
        </w:tcBorders>
      </w:tcPr>
    </w:tblStylePr>
    <w:tblStylePr w:type="swCell">
      <w:tblPr/>
      <w:tcPr>
        <w:tcBorders>
          <w:top w:val="single" w:sz="4" w:space="0" w:color="C9C9C9"/>
        </w:tcBorders>
      </w:tcPr>
    </w:tblStylePr>
  </w:style>
  <w:style w:type="table" w:styleId="Tabelasiatki7kolorowaakcent4">
    <w:name w:val="Grid Table 7 Colorful Accent 4"/>
    <w:basedOn w:val="Standardowy"/>
    <w:uiPriority w:val="52"/>
    <w:rsid w:val="00C70628"/>
    <w:rPr>
      <w:color w:val="BF8F00"/>
    </w:rPr>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insideV w:val="single" w:sz="4" w:space="0" w:color="FFD96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bottom w:val="single" w:sz="4" w:space="0" w:color="FFD966"/>
        </w:tcBorders>
      </w:tcPr>
    </w:tblStylePr>
    <w:tblStylePr w:type="nwCell">
      <w:tblPr/>
      <w:tcPr>
        <w:tcBorders>
          <w:bottom w:val="single" w:sz="4" w:space="0" w:color="FFD966"/>
        </w:tcBorders>
      </w:tcPr>
    </w:tblStylePr>
    <w:tblStylePr w:type="seCell">
      <w:tblPr/>
      <w:tcPr>
        <w:tcBorders>
          <w:top w:val="single" w:sz="4" w:space="0" w:color="FFD966"/>
        </w:tcBorders>
      </w:tcPr>
    </w:tblStylePr>
    <w:tblStylePr w:type="swCell">
      <w:tblPr/>
      <w:tcPr>
        <w:tcBorders>
          <w:top w:val="single" w:sz="4" w:space="0" w:color="FFD966"/>
        </w:tcBorders>
      </w:tcPr>
    </w:tblStylePr>
  </w:style>
  <w:style w:type="table" w:styleId="Tabelasiatki7kolorowaakcent5">
    <w:name w:val="Grid Table 7 Colorful Accent 5"/>
    <w:basedOn w:val="Standardowy"/>
    <w:uiPriority w:val="52"/>
    <w:rsid w:val="00C70628"/>
    <w:rPr>
      <w:color w:val="204173"/>
    </w:rPr>
    <w:tblPr>
      <w:tblStyleRowBandSize w:val="1"/>
      <w:tblStyleColBandSize w:val="1"/>
      <w:tblBorders>
        <w:top w:val="single" w:sz="4" w:space="0" w:color="6C95D6"/>
        <w:left w:val="single" w:sz="4" w:space="0" w:color="6C95D6"/>
        <w:bottom w:val="single" w:sz="4" w:space="0" w:color="6C95D6"/>
        <w:right w:val="single" w:sz="4" w:space="0" w:color="6C95D6"/>
        <w:insideH w:val="single" w:sz="4" w:space="0" w:color="6C95D6"/>
        <w:insideV w:val="single" w:sz="4" w:space="0" w:color="6C95D6"/>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CEDBF1"/>
      </w:tcPr>
    </w:tblStylePr>
    <w:tblStylePr w:type="band1Horz">
      <w:tblPr/>
      <w:tcPr>
        <w:shd w:val="clear" w:color="auto" w:fill="CEDBF1"/>
      </w:tcPr>
    </w:tblStylePr>
    <w:tblStylePr w:type="neCell">
      <w:tblPr/>
      <w:tcPr>
        <w:tcBorders>
          <w:bottom w:val="single" w:sz="4" w:space="0" w:color="6C95D6"/>
        </w:tcBorders>
      </w:tcPr>
    </w:tblStylePr>
    <w:tblStylePr w:type="nwCell">
      <w:tblPr/>
      <w:tcPr>
        <w:tcBorders>
          <w:bottom w:val="single" w:sz="4" w:space="0" w:color="6C95D6"/>
        </w:tcBorders>
      </w:tcPr>
    </w:tblStylePr>
    <w:tblStylePr w:type="seCell">
      <w:tblPr/>
      <w:tcPr>
        <w:tcBorders>
          <w:top w:val="single" w:sz="4" w:space="0" w:color="6C95D6"/>
        </w:tcBorders>
      </w:tcPr>
    </w:tblStylePr>
    <w:tblStylePr w:type="swCell">
      <w:tblPr/>
      <w:tcPr>
        <w:tcBorders>
          <w:top w:val="single" w:sz="4" w:space="0" w:color="6C95D6"/>
        </w:tcBorders>
      </w:tcPr>
    </w:tblStylePr>
  </w:style>
  <w:style w:type="table" w:styleId="Tabelasiatki7kolorowaakcent6">
    <w:name w:val="Grid Table 7 Colorful Accent 6"/>
    <w:basedOn w:val="Standardowy"/>
    <w:uiPriority w:val="52"/>
    <w:rsid w:val="00C70628"/>
    <w:rPr>
      <w:color w:val="538135"/>
    </w:rPr>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insideV w:val="single" w:sz="4" w:space="0" w:color="A8D08D"/>
      </w:tblBorders>
    </w:tblPr>
    <w:tblStylePr w:type="firstRow">
      <w:rPr>
        <w:b/>
        <w:bCs/>
      </w:rPr>
      <w:tblPr/>
      <w:tcPr>
        <w:tcBorders>
          <w:top w:val="nil"/>
          <w:left w:val="nil"/>
          <w:right w:val="nil"/>
          <w:insideH w:val="nil"/>
          <w:insideV w:val="nil"/>
        </w:tcBorders>
        <w:shd w:val="clear" w:color="auto" w:fill="FFFFFF"/>
      </w:tcPr>
    </w:tblStylePr>
    <w:tblStylePr w:type="lastRow">
      <w:rPr>
        <w:b/>
        <w:bCs/>
      </w:rPr>
      <w:tblPr/>
      <w:tcPr>
        <w:tcBorders>
          <w:left w:val="nil"/>
          <w:bottom w:val="nil"/>
          <w:right w:val="nil"/>
          <w:insideH w:val="nil"/>
          <w:insideV w:val="nil"/>
        </w:tcBorders>
        <w:shd w:val="clear" w:color="auto" w:fill="FFFFFF"/>
      </w:tcPr>
    </w:tblStylePr>
    <w:tblStylePr w:type="firstCol">
      <w:pPr>
        <w:jc w:val="right"/>
      </w:pPr>
      <w:rPr>
        <w:i/>
        <w:iCs/>
      </w:rPr>
      <w:tblPr/>
      <w:tcPr>
        <w:tcBorders>
          <w:top w:val="nil"/>
          <w:left w:val="nil"/>
          <w:bottom w:val="nil"/>
          <w:insideH w:val="nil"/>
          <w:insideV w:val="nil"/>
        </w:tcBorders>
        <w:shd w:val="clear" w:color="auto" w:fill="FFFFFF"/>
      </w:tcPr>
    </w:tblStylePr>
    <w:tblStylePr w:type="lastCol">
      <w:rPr>
        <w:i/>
        <w:iCs/>
      </w:rPr>
      <w:tblPr/>
      <w:tcPr>
        <w:tcBorders>
          <w:top w:val="nil"/>
          <w:bottom w:val="nil"/>
          <w:right w:val="nil"/>
          <w:insideH w:val="nil"/>
          <w:insideV w:val="nil"/>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bottom w:val="single" w:sz="4" w:space="0" w:color="A8D08D"/>
        </w:tcBorders>
      </w:tcPr>
    </w:tblStylePr>
    <w:tblStylePr w:type="nwCell">
      <w:tblPr/>
      <w:tcPr>
        <w:tcBorders>
          <w:bottom w:val="single" w:sz="4" w:space="0" w:color="A8D08D"/>
        </w:tcBorders>
      </w:tcPr>
    </w:tblStylePr>
    <w:tblStylePr w:type="seCell">
      <w:tblPr/>
      <w:tcPr>
        <w:tcBorders>
          <w:top w:val="single" w:sz="4" w:space="0" w:color="A8D08D"/>
        </w:tcBorders>
      </w:tcPr>
    </w:tblStylePr>
    <w:tblStylePr w:type="swCell">
      <w:tblPr/>
      <w:tcPr>
        <w:tcBorders>
          <w:top w:val="single" w:sz="4" w:space="0" w:color="A8D08D"/>
        </w:tcBorders>
      </w:tcPr>
    </w:tblStylePr>
  </w:style>
  <w:style w:type="character" w:customStyle="1" w:styleId="Nagwek3Znak">
    <w:name w:val="Nagłówek 3 Znak"/>
    <w:link w:val="Nagwek3"/>
    <w:uiPriority w:val="1"/>
    <w:rsid w:val="00C70628"/>
    <w:rPr>
      <w:rFonts w:ascii="Segoe UI Light" w:eastAsia="MS Gothic" w:hAnsi="Segoe UI Light" w:cs="Segoe UI Light"/>
      <w:color w:val="1F4D78"/>
      <w:sz w:val="24"/>
      <w:szCs w:val="24"/>
    </w:rPr>
  </w:style>
  <w:style w:type="character" w:customStyle="1" w:styleId="Nagwek4Znak">
    <w:name w:val="Nagłówek 4 Znak"/>
    <w:link w:val="Nagwek4"/>
    <w:uiPriority w:val="1"/>
    <w:rsid w:val="00C70628"/>
    <w:rPr>
      <w:rFonts w:ascii="Segoe UI Light" w:eastAsia="MS Gothic" w:hAnsi="Segoe UI Light" w:cs="Segoe UI Light"/>
      <w:i/>
      <w:iCs/>
      <w:color w:val="1F4E79"/>
    </w:rPr>
  </w:style>
  <w:style w:type="character" w:customStyle="1" w:styleId="Nagwek5Znak">
    <w:name w:val="Nagłówek 5 Znak"/>
    <w:link w:val="Nagwek5"/>
    <w:uiPriority w:val="1"/>
    <w:rsid w:val="00C70628"/>
    <w:rPr>
      <w:rFonts w:ascii="Segoe UI Light" w:eastAsia="MS Gothic" w:hAnsi="Segoe UI Light" w:cs="Segoe UI Light"/>
      <w:color w:val="1F4E79"/>
    </w:rPr>
  </w:style>
  <w:style w:type="character" w:customStyle="1" w:styleId="Nagwek6Znak">
    <w:name w:val="Nagłówek 6 Znak"/>
    <w:link w:val="Nagwek6"/>
    <w:uiPriority w:val="1"/>
    <w:rsid w:val="00C70628"/>
    <w:rPr>
      <w:rFonts w:ascii="Segoe UI Light" w:eastAsia="MS Gothic" w:hAnsi="Segoe UI Light" w:cs="Segoe UI Light"/>
      <w:b/>
      <w:color w:val="1F4D78"/>
    </w:rPr>
  </w:style>
  <w:style w:type="character" w:customStyle="1" w:styleId="Nagwek7Znak">
    <w:name w:val="Nagłówek 7 Znak"/>
    <w:link w:val="Nagwek7"/>
    <w:uiPriority w:val="1"/>
    <w:rsid w:val="00C70628"/>
    <w:rPr>
      <w:rFonts w:ascii="Segoe UI Light" w:eastAsia="MS Gothic" w:hAnsi="Segoe UI Light" w:cs="Segoe UI Light"/>
      <w:i/>
      <w:iCs/>
      <w:color w:val="1F4D78"/>
    </w:rPr>
  </w:style>
  <w:style w:type="character" w:customStyle="1" w:styleId="Nagwek8Znak">
    <w:name w:val="Nagłówek 8 Znak"/>
    <w:link w:val="Nagwek8"/>
    <w:uiPriority w:val="1"/>
    <w:rsid w:val="00C70628"/>
    <w:rPr>
      <w:rFonts w:ascii="Segoe UI Light" w:eastAsia="MS Gothic" w:hAnsi="Segoe UI Light" w:cs="Segoe UI Light"/>
      <w:color w:val="272727"/>
      <w:szCs w:val="21"/>
    </w:rPr>
  </w:style>
  <w:style w:type="character" w:customStyle="1" w:styleId="Nagwek9Znak">
    <w:name w:val="Nagłówek 9 Znak"/>
    <w:link w:val="Nagwek9"/>
    <w:uiPriority w:val="1"/>
    <w:rsid w:val="00C70628"/>
    <w:rPr>
      <w:rFonts w:ascii="Segoe UI Light" w:eastAsia="MS Gothic" w:hAnsi="Segoe UI Light" w:cs="Segoe UI Light"/>
      <w:i/>
      <w:iCs/>
      <w:color w:val="272727"/>
      <w:szCs w:val="21"/>
    </w:rPr>
  </w:style>
  <w:style w:type="character" w:styleId="HTML-akronim">
    <w:name w:val="HTML Acronym"/>
    <w:uiPriority w:val="99"/>
    <w:semiHidden/>
    <w:unhideWhenUsed/>
    <w:rsid w:val="00C70628"/>
    <w:rPr>
      <w:rFonts w:ascii="Segoe UI" w:hAnsi="Segoe UI" w:cs="Segoe UI"/>
    </w:rPr>
  </w:style>
  <w:style w:type="paragraph" w:styleId="HTML-adres">
    <w:name w:val="HTML Address"/>
    <w:basedOn w:val="Normalny"/>
    <w:link w:val="HTML-adresZnak"/>
    <w:uiPriority w:val="99"/>
    <w:semiHidden/>
    <w:unhideWhenUsed/>
    <w:rsid w:val="00C70628"/>
    <w:pPr>
      <w:spacing w:before="0" w:line="240" w:lineRule="auto"/>
    </w:pPr>
    <w:rPr>
      <w:i/>
      <w:iCs/>
    </w:rPr>
  </w:style>
  <w:style w:type="character" w:customStyle="1" w:styleId="HTML-adresZnak">
    <w:name w:val="HTML - adres Znak"/>
    <w:link w:val="HTML-adres"/>
    <w:uiPriority w:val="99"/>
    <w:semiHidden/>
    <w:rsid w:val="00C70628"/>
    <w:rPr>
      <w:rFonts w:ascii="Segoe UI" w:hAnsi="Segoe UI" w:cs="Segoe UI"/>
      <w:i/>
      <w:iCs/>
    </w:rPr>
  </w:style>
  <w:style w:type="character" w:styleId="HTML-cytat">
    <w:name w:val="HTML Cite"/>
    <w:uiPriority w:val="99"/>
    <w:semiHidden/>
    <w:unhideWhenUsed/>
    <w:rsid w:val="00C70628"/>
    <w:rPr>
      <w:rFonts w:ascii="Segoe UI" w:hAnsi="Segoe UI" w:cs="Segoe UI"/>
      <w:i/>
      <w:iCs/>
    </w:rPr>
  </w:style>
  <w:style w:type="character" w:styleId="HTML-kod">
    <w:name w:val="HTML Code"/>
    <w:uiPriority w:val="99"/>
    <w:semiHidden/>
    <w:unhideWhenUsed/>
    <w:rsid w:val="00C70628"/>
    <w:rPr>
      <w:rFonts w:ascii="Consolas" w:hAnsi="Consolas" w:cs="Segoe UI"/>
      <w:sz w:val="22"/>
      <w:szCs w:val="20"/>
    </w:rPr>
  </w:style>
  <w:style w:type="character" w:styleId="HTML-definicja">
    <w:name w:val="HTML Definition"/>
    <w:uiPriority w:val="99"/>
    <w:semiHidden/>
    <w:unhideWhenUsed/>
    <w:rsid w:val="00C70628"/>
    <w:rPr>
      <w:rFonts w:ascii="Segoe UI" w:hAnsi="Segoe UI" w:cs="Segoe UI"/>
      <w:i/>
      <w:iCs/>
    </w:rPr>
  </w:style>
  <w:style w:type="character" w:styleId="HTML-klawiatura">
    <w:name w:val="HTML Keyboard"/>
    <w:uiPriority w:val="99"/>
    <w:semiHidden/>
    <w:unhideWhenUsed/>
    <w:rsid w:val="00C70628"/>
    <w:rPr>
      <w:rFonts w:ascii="Consolas" w:hAnsi="Consolas" w:cs="Segoe UI"/>
      <w:sz w:val="22"/>
      <w:szCs w:val="20"/>
    </w:rPr>
  </w:style>
  <w:style w:type="paragraph" w:styleId="HTML-wstpniesformatowany">
    <w:name w:val="HTML Preformatted"/>
    <w:basedOn w:val="Normalny"/>
    <w:link w:val="HTML-wstpniesformatowanyZnak"/>
    <w:uiPriority w:val="99"/>
    <w:semiHidden/>
    <w:unhideWhenUsed/>
    <w:rsid w:val="00C70628"/>
    <w:pPr>
      <w:spacing w:before="0" w:line="240" w:lineRule="auto"/>
    </w:pPr>
    <w:rPr>
      <w:rFonts w:ascii="Consolas" w:hAnsi="Consolas"/>
      <w:szCs w:val="20"/>
    </w:rPr>
  </w:style>
  <w:style w:type="character" w:customStyle="1" w:styleId="HTML-wstpniesformatowanyZnak">
    <w:name w:val="HTML - wstępnie sformatowany Znak"/>
    <w:link w:val="HTML-wstpniesformatowany"/>
    <w:uiPriority w:val="99"/>
    <w:semiHidden/>
    <w:rsid w:val="00C70628"/>
    <w:rPr>
      <w:rFonts w:ascii="Consolas" w:hAnsi="Consolas" w:cs="Segoe UI"/>
      <w:szCs w:val="20"/>
    </w:rPr>
  </w:style>
  <w:style w:type="character" w:styleId="HTML-przykad">
    <w:name w:val="HTML Sample"/>
    <w:uiPriority w:val="99"/>
    <w:semiHidden/>
    <w:unhideWhenUsed/>
    <w:rsid w:val="00C70628"/>
    <w:rPr>
      <w:rFonts w:ascii="Consolas" w:hAnsi="Consolas" w:cs="Segoe UI"/>
      <w:sz w:val="24"/>
      <w:szCs w:val="24"/>
    </w:rPr>
  </w:style>
  <w:style w:type="character" w:styleId="HTML-staaszeroko">
    <w:name w:val="HTML Typewriter"/>
    <w:uiPriority w:val="99"/>
    <w:semiHidden/>
    <w:unhideWhenUsed/>
    <w:rsid w:val="00C70628"/>
    <w:rPr>
      <w:rFonts w:ascii="Consolas" w:hAnsi="Consolas" w:cs="Segoe UI"/>
      <w:sz w:val="22"/>
      <w:szCs w:val="20"/>
    </w:rPr>
  </w:style>
  <w:style w:type="character" w:styleId="HTML-zmienna">
    <w:name w:val="HTML Variable"/>
    <w:uiPriority w:val="99"/>
    <w:semiHidden/>
    <w:unhideWhenUsed/>
    <w:rsid w:val="00C70628"/>
    <w:rPr>
      <w:rFonts w:ascii="Segoe UI" w:hAnsi="Segoe UI" w:cs="Segoe UI"/>
      <w:i/>
      <w:iCs/>
    </w:rPr>
  </w:style>
  <w:style w:type="paragraph" w:styleId="Indeks1">
    <w:name w:val="index 1"/>
    <w:basedOn w:val="Normalny"/>
    <w:next w:val="Normalny"/>
    <w:autoRedefine/>
    <w:uiPriority w:val="99"/>
    <w:semiHidden/>
    <w:unhideWhenUsed/>
    <w:rsid w:val="00C70628"/>
    <w:pPr>
      <w:spacing w:before="0" w:line="240" w:lineRule="auto"/>
      <w:ind w:left="220" w:hanging="220"/>
    </w:pPr>
  </w:style>
  <w:style w:type="paragraph" w:styleId="Indeks2">
    <w:name w:val="index 2"/>
    <w:basedOn w:val="Normalny"/>
    <w:next w:val="Normalny"/>
    <w:autoRedefine/>
    <w:uiPriority w:val="99"/>
    <w:semiHidden/>
    <w:unhideWhenUsed/>
    <w:rsid w:val="00C70628"/>
    <w:pPr>
      <w:spacing w:before="0" w:line="240" w:lineRule="auto"/>
      <w:ind w:left="440" w:hanging="220"/>
    </w:pPr>
  </w:style>
  <w:style w:type="paragraph" w:styleId="Indeks3">
    <w:name w:val="index 3"/>
    <w:basedOn w:val="Normalny"/>
    <w:next w:val="Normalny"/>
    <w:autoRedefine/>
    <w:uiPriority w:val="99"/>
    <w:semiHidden/>
    <w:unhideWhenUsed/>
    <w:rsid w:val="00C70628"/>
    <w:pPr>
      <w:spacing w:before="0" w:line="240" w:lineRule="auto"/>
      <w:ind w:left="660" w:hanging="220"/>
    </w:pPr>
  </w:style>
  <w:style w:type="paragraph" w:styleId="Indeks4">
    <w:name w:val="index 4"/>
    <w:basedOn w:val="Normalny"/>
    <w:next w:val="Normalny"/>
    <w:autoRedefine/>
    <w:uiPriority w:val="99"/>
    <w:semiHidden/>
    <w:unhideWhenUsed/>
    <w:rsid w:val="00C70628"/>
    <w:pPr>
      <w:spacing w:before="0" w:line="240" w:lineRule="auto"/>
      <w:ind w:left="880" w:hanging="220"/>
    </w:pPr>
  </w:style>
  <w:style w:type="paragraph" w:styleId="Indeks5">
    <w:name w:val="index 5"/>
    <w:basedOn w:val="Normalny"/>
    <w:next w:val="Normalny"/>
    <w:autoRedefine/>
    <w:uiPriority w:val="99"/>
    <w:semiHidden/>
    <w:unhideWhenUsed/>
    <w:rsid w:val="00C70628"/>
    <w:pPr>
      <w:spacing w:before="0" w:line="240" w:lineRule="auto"/>
      <w:ind w:left="1100" w:hanging="220"/>
    </w:pPr>
  </w:style>
  <w:style w:type="paragraph" w:styleId="Indeks6">
    <w:name w:val="index 6"/>
    <w:basedOn w:val="Normalny"/>
    <w:next w:val="Normalny"/>
    <w:autoRedefine/>
    <w:uiPriority w:val="99"/>
    <w:semiHidden/>
    <w:unhideWhenUsed/>
    <w:rsid w:val="00C70628"/>
    <w:pPr>
      <w:spacing w:before="0" w:line="240" w:lineRule="auto"/>
      <w:ind w:left="1320" w:hanging="220"/>
    </w:pPr>
  </w:style>
  <w:style w:type="paragraph" w:styleId="Indeks7">
    <w:name w:val="index 7"/>
    <w:basedOn w:val="Normalny"/>
    <w:next w:val="Normalny"/>
    <w:autoRedefine/>
    <w:uiPriority w:val="99"/>
    <w:semiHidden/>
    <w:unhideWhenUsed/>
    <w:rsid w:val="00C70628"/>
    <w:pPr>
      <w:spacing w:before="0" w:line="240" w:lineRule="auto"/>
      <w:ind w:left="1540" w:hanging="220"/>
    </w:pPr>
  </w:style>
  <w:style w:type="paragraph" w:styleId="Indeks8">
    <w:name w:val="index 8"/>
    <w:basedOn w:val="Normalny"/>
    <w:next w:val="Normalny"/>
    <w:autoRedefine/>
    <w:uiPriority w:val="99"/>
    <w:semiHidden/>
    <w:unhideWhenUsed/>
    <w:rsid w:val="00C70628"/>
    <w:pPr>
      <w:spacing w:before="0" w:line="240" w:lineRule="auto"/>
      <w:ind w:left="1760" w:hanging="220"/>
    </w:pPr>
  </w:style>
  <w:style w:type="paragraph" w:styleId="Indeks9">
    <w:name w:val="index 9"/>
    <w:basedOn w:val="Normalny"/>
    <w:next w:val="Normalny"/>
    <w:autoRedefine/>
    <w:uiPriority w:val="99"/>
    <w:semiHidden/>
    <w:unhideWhenUsed/>
    <w:rsid w:val="00C70628"/>
    <w:pPr>
      <w:spacing w:before="0" w:line="240" w:lineRule="auto"/>
      <w:ind w:left="1980" w:hanging="220"/>
    </w:pPr>
  </w:style>
  <w:style w:type="paragraph" w:styleId="Nagwekindeksu">
    <w:name w:val="index heading"/>
    <w:basedOn w:val="Normalny"/>
    <w:next w:val="Indeks1"/>
    <w:uiPriority w:val="99"/>
    <w:semiHidden/>
    <w:unhideWhenUsed/>
    <w:rsid w:val="00C70628"/>
    <w:rPr>
      <w:rFonts w:ascii="Segoe UI Light" w:eastAsia="MS Gothic" w:hAnsi="Segoe UI Light" w:cs="Segoe UI Light"/>
      <w:b/>
      <w:bCs/>
    </w:rPr>
  </w:style>
  <w:style w:type="paragraph" w:styleId="Cytatintensywny">
    <w:name w:val="Intense Quote"/>
    <w:basedOn w:val="Normalny"/>
    <w:next w:val="Normalny"/>
    <w:link w:val="CytatintensywnyZnak"/>
    <w:uiPriority w:val="30"/>
    <w:unhideWhenUsed/>
    <w:qFormat/>
    <w:rsid w:val="00C70628"/>
    <w:pPr>
      <w:pBdr>
        <w:top w:val="single" w:sz="4" w:space="10" w:color="1F4E79"/>
        <w:bottom w:val="single" w:sz="4" w:space="10" w:color="1F4E79"/>
      </w:pBdr>
      <w:spacing w:before="360" w:after="360"/>
      <w:jc w:val="center"/>
    </w:pPr>
    <w:rPr>
      <w:i/>
      <w:iCs/>
      <w:color w:val="1F4E79"/>
    </w:rPr>
  </w:style>
  <w:style w:type="character" w:customStyle="1" w:styleId="CytatintensywnyZnak">
    <w:name w:val="Cytat intensywny Znak"/>
    <w:link w:val="Cytatintensywny"/>
    <w:uiPriority w:val="30"/>
    <w:rsid w:val="00C70628"/>
    <w:rPr>
      <w:rFonts w:ascii="Segoe UI" w:hAnsi="Segoe UI" w:cs="Segoe UI"/>
      <w:i/>
      <w:iCs/>
      <w:color w:val="1F4E79"/>
    </w:rPr>
  </w:style>
  <w:style w:type="character" w:styleId="Odwoanieintensywne">
    <w:name w:val="Intense Reference"/>
    <w:uiPriority w:val="32"/>
    <w:semiHidden/>
    <w:unhideWhenUsed/>
    <w:qFormat/>
    <w:rsid w:val="00C70628"/>
    <w:rPr>
      <w:rFonts w:ascii="Segoe UI" w:hAnsi="Segoe UI" w:cs="Segoe UI"/>
      <w:b/>
      <w:bCs/>
      <w:caps w:val="0"/>
      <w:smallCaps/>
      <w:color w:val="1F4E79"/>
      <w:spacing w:val="0"/>
    </w:rPr>
  </w:style>
  <w:style w:type="table" w:styleId="Jasnasiatka">
    <w:name w:val="Light Grid"/>
    <w:basedOn w:val="Standardowy"/>
    <w:uiPriority w:val="62"/>
    <w:semiHidden/>
    <w:unhideWhenUsed/>
    <w:rsid w:val="00C706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Segoe UI Light" w:eastAsia="MS Gothic" w:hAnsi="Segoe U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Segoe UI Light" w:eastAsia="MS Gothic" w:hAnsi="Segoe U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Jasnasiatkaakcent1">
    <w:name w:val="Light Grid Accent 1"/>
    <w:basedOn w:val="Standardowy"/>
    <w:uiPriority w:val="62"/>
    <w:semiHidden/>
    <w:unhideWhenUsed/>
    <w:rsid w:val="00C70628"/>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Segoe UI Light" w:eastAsia="MS Gothic" w:hAnsi="Segoe UI Light"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Segoe UI Light" w:eastAsia="MS Gothic" w:hAnsi="Segoe UI Light"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styleId="Jasnasiatkaakcent2">
    <w:name w:val="Light Grid Accent 2"/>
    <w:basedOn w:val="Standardowy"/>
    <w:uiPriority w:val="62"/>
    <w:semiHidden/>
    <w:unhideWhenUsed/>
    <w:rsid w:val="00C70628"/>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Pr>
    <w:tblStylePr w:type="firstRow">
      <w:pPr>
        <w:spacing w:before="0" w:after="0" w:line="240" w:lineRule="auto"/>
      </w:pPr>
      <w:rPr>
        <w:rFonts w:ascii="Segoe UI Light" w:eastAsia="MS Gothic" w:hAnsi="Segoe UI Light" w:cs="Times New Roman"/>
        <w:b/>
        <w:bCs/>
      </w:rPr>
      <w:tblPr/>
      <w:tcPr>
        <w:tcBorders>
          <w:top w:val="single" w:sz="8" w:space="0" w:color="FF0000"/>
          <w:left w:val="single" w:sz="8" w:space="0" w:color="FF0000"/>
          <w:bottom w:val="single" w:sz="18" w:space="0" w:color="FF0000"/>
          <w:right w:val="single" w:sz="8" w:space="0" w:color="FF0000"/>
          <w:insideH w:val="nil"/>
          <w:insideV w:val="single" w:sz="8" w:space="0" w:color="FF0000"/>
        </w:tcBorders>
      </w:tcPr>
    </w:tblStylePr>
    <w:tblStylePr w:type="lastRow">
      <w:pPr>
        <w:spacing w:before="0" w:after="0" w:line="240" w:lineRule="auto"/>
      </w:pPr>
      <w:rPr>
        <w:rFonts w:ascii="Segoe UI Light" w:eastAsia="MS Gothic" w:hAnsi="Segoe UI Light" w:cs="Times New Roman"/>
        <w:b/>
        <w:bCs/>
      </w:rPr>
      <w:tblPr/>
      <w:tcPr>
        <w:tcBorders>
          <w:top w:val="double" w:sz="6" w:space="0" w:color="FF0000"/>
          <w:left w:val="single" w:sz="8" w:space="0" w:color="FF0000"/>
          <w:bottom w:val="single" w:sz="8" w:space="0" w:color="FF0000"/>
          <w:right w:val="single" w:sz="8" w:space="0" w:color="FF0000"/>
          <w:insideH w:val="nil"/>
          <w:insideV w:val="single" w:sz="8" w:space="0" w:color="FF0000"/>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FF0000"/>
          <w:left w:val="single" w:sz="8" w:space="0" w:color="FF0000"/>
          <w:bottom w:val="single" w:sz="8" w:space="0" w:color="FF0000"/>
          <w:right w:val="single" w:sz="8" w:space="0" w:color="FF0000"/>
        </w:tcBorders>
      </w:tcPr>
    </w:tblStylePr>
    <w:tblStylePr w:type="band1Vert">
      <w:tblPr/>
      <w:tcPr>
        <w:tcBorders>
          <w:top w:val="single" w:sz="8" w:space="0" w:color="FF0000"/>
          <w:left w:val="single" w:sz="8" w:space="0" w:color="FF0000"/>
          <w:bottom w:val="single" w:sz="8" w:space="0" w:color="FF0000"/>
          <w:right w:val="single" w:sz="8" w:space="0" w:color="FF0000"/>
        </w:tcBorders>
        <w:shd w:val="clear" w:color="auto" w:fill="FFC0C0"/>
      </w:tcPr>
    </w:tblStylePr>
    <w:tblStylePr w:type="band1Horz">
      <w:tblPr/>
      <w:tcPr>
        <w:tcBorders>
          <w:top w:val="single" w:sz="8" w:space="0" w:color="FF0000"/>
          <w:left w:val="single" w:sz="8" w:space="0" w:color="FF0000"/>
          <w:bottom w:val="single" w:sz="8" w:space="0" w:color="FF0000"/>
          <w:right w:val="single" w:sz="8" w:space="0" w:color="FF0000"/>
          <w:insideV w:val="single" w:sz="8" w:space="0" w:color="FF0000"/>
        </w:tcBorders>
        <w:shd w:val="clear" w:color="auto" w:fill="FFC0C0"/>
      </w:tcPr>
    </w:tblStylePr>
    <w:tblStylePr w:type="band2Horz">
      <w:tblPr/>
      <w:tcPr>
        <w:tcBorders>
          <w:top w:val="single" w:sz="8" w:space="0" w:color="FF0000"/>
          <w:left w:val="single" w:sz="8" w:space="0" w:color="FF0000"/>
          <w:bottom w:val="single" w:sz="8" w:space="0" w:color="FF0000"/>
          <w:right w:val="single" w:sz="8" w:space="0" w:color="FF0000"/>
          <w:insideV w:val="single" w:sz="8" w:space="0" w:color="FF0000"/>
        </w:tcBorders>
      </w:tcPr>
    </w:tblStylePr>
  </w:style>
  <w:style w:type="table" w:styleId="Jasnasiatkaakcent3">
    <w:name w:val="Light Grid Accent 3"/>
    <w:basedOn w:val="Standardowy"/>
    <w:uiPriority w:val="62"/>
    <w:semiHidden/>
    <w:unhideWhenUsed/>
    <w:rsid w:val="00C70628"/>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blStylePr w:type="firstRow">
      <w:pPr>
        <w:spacing w:before="0" w:after="0" w:line="240" w:lineRule="auto"/>
      </w:pPr>
      <w:rPr>
        <w:rFonts w:ascii="Segoe UI Light" w:eastAsia="MS Gothic" w:hAnsi="Segoe UI Light" w:cs="Times New Roman"/>
        <w:b/>
        <w:bCs/>
      </w:rPr>
      <w:tblPr/>
      <w:tcPr>
        <w:tcBorders>
          <w:top w:val="single" w:sz="8" w:space="0" w:color="A5A5A5"/>
          <w:left w:val="single" w:sz="8" w:space="0" w:color="A5A5A5"/>
          <w:bottom w:val="single" w:sz="18" w:space="0" w:color="A5A5A5"/>
          <w:right w:val="single" w:sz="8" w:space="0" w:color="A5A5A5"/>
          <w:insideH w:val="nil"/>
          <w:insideV w:val="single" w:sz="8" w:space="0" w:color="A5A5A5"/>
        </w:tcBorders>
      </w:tcPr>
    </w:tblStylePr>
    <w:tblStylePr w:type="lastRow">
      <w:pPr>
        <w:spacing w:before="0" w:after="0" w:line="240" w:lineRule="auto"/>
      </w:pPr>
      <w:rPr>
        <w:rFonts w:ascii="Segoe UI Light" w:eastAsia="MS Gothic" w:hAnsi="Segoe UI Light" w:cs="Times New Roman"/>
        <w:b/>
        <w:bCs/>
      </w:rPr>
      <w:tblPr/>
      <w:tcPr>
        <w:tcBorders>
          <w:top w:val="double" w:sz="6" w:space="0" w:color="A5A5A5"/>
          <w:left w:val="single" w:sz="8" w:space="0" w:color="A5A5A5"/>
          <w:bottom w:val="single" w:sz="8" w:space="0" w:color="A5A5A5"/>
          <w:right w:val="single" w:sz="8" w:space="0" w:color="A5A5A5"/>
          <w:insideH w:val="nil"/>
          <w:insideV w:val="single" w:sz="8" w:space="0" w:color="A5A5A5"/>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A5A5A5"/>
          <w:left w:val="single" w:sz="8" w:space="0" w:color="A5A5A5"/>
          <w:bottom w:val="single" w:sz="8" w:space="0" w:color="A5A5A5"/>
          <w:right w:val="single" w:sz="8" w:space="0" w:color="A5A5A5"/>
        </w:tcBorders>
      </w:tcPr>
    </w:tblStylePr>
    <w:tblStylePr w:type="band1Vert">
      <w:tblPr/>
      <w:tcPr>
        <w:tcBorders>
          <w:top w:val="single" w:sz="8" w:space="0" w:color="A5A5A5"/>
          <w:left w:val="single" w:sz="8" w:space="0" w:color="A5A5A5"/>
          <w:bottom w:val="single" w:sz="8" w:space="0" w:color="A5A5A5"/>
          <w:right w:val="single" w:sz="8" w:space="0" w:color="A5A5A5"/>
        </w:tcBorders>
        <w:shd w:val="clear" w:color="auto" w:fill="E8E8E8"/>
      </w:tcPr>
    </w:tblStylePr>
    <w:tblStylePr w:type="band1Horz">
      <w:tblPr/>
      <w:tcPr>
        <w:tcBorders>
          <w:top w:val="single" w:sz="8" w:space="0" w:color="A5A5A5"/>
          <w:left w:val="single" w:sz="8" w:space="0" w:color="A5A5A5"/>
          <w:bottom w:val="single" w:sz="8" w:space="0" w:color="A5A5A5"/>
          <w:right w:val="single" w:sz="8" w:space="0" w:color="A5A5A5"/>
          <w:insideV w:val="single" w:sz="8" w:space="0" w:color="A5A5A5"/>
        </w:tcBorders>
        <w:shd w:val="clear" w:color="auto" w:fill="E8E8E8"/>
      </w:tcPr>
    </w:tblStylePr>
    <w:tblStylePr w:type="band2Horz">
      <w:tblPr/>
      <w:tcPr>
        <w:tcBorders>
          <w:top w:val="single" w:sz="8" w:space="0" w:color="A5A5A5"/>
          <w:left w:val="single" w:sz="8" w:space="0" w:color="A5A5A5"/>
          <w:bottom w:val="single" w:sz="8" w:space="0" w:color="A5A5A5"/>
          <w:right w:val="single" w:sz="8" w:space="0" w:color="A5A5A5"/>
          <w:insideV w:val="single" w:sz="8" w:space="0" w:color="A5A5A5"/>
        </w:tcBorders>
      </w:tcPr>
    </w:tblStylePr>
  </w:style>
  <w:style w:type="table" w:styleId="Jasnasiatkaakcent4">
    <w:name w:val="Light Grid Accent 4"/>
    <w:basedOn w:val="Standardowy"/>
    <w:uiPriority w:val="62"/>
    <w:semiHidden/>
    <w:unhideWhenUsed/>
    <w:rsid w:val="00C70628"/>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Segoe UI Light" w:eastAsia="MS Gothic" w:hAnsi="Segoe U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Segoe UI Light" w:eastAsia="MS Gothic" w:hAnsi="Segoe U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styleId="Jasnasiatkaakcent5">
    <w:name w:val="Light Grid Accent 5"/>
    <w:basedOn w:val="Standardowy"/>
    <w:uiPriority w:val="62"/>
    <w:semiHidden/>
    <w:unhideWhenUsed/>
    <w:rsid w:val="00C70628"/>
    <w:tblPr>
      <w:tblStyleRowBandSize w:val="1"/>
      <w:tblStyleColBandSize w:val="1"/>
      <w:tblBorders>
        <w:top w:val="single" w:sz="8" w:space="0" w:color="2B579A"/>
        <w:left w:val="single" w:sz="8" w:space="0" w:color="2B579A"/>
        <w:bottom w:val="single" w:sz="8" w:space="0" w:color="2B579A"/>
        <w:right w:val="single" w:sz="8" w:space="0" w:color="2B579A"/>
        <w:insideH w:val="single" w:sz="8" w:space="0" w:color="2B579A"/>
        <w:insideV w:val="single" w:sz="8" w:space="0" w:color="2B579A"/>
      </w:tblBorders>
    </w:tblPr>
    <w:tblStylePr w:type="firstRow">
      <w:pPr>
        <w:spacing w:before="0" w:after="0" w:line="240" w:lineRule="auto"/>
      </w:pPr>
      <w:rPr>
        <w:rFonts w:ascii="Segoe UI Light" w:eastAsia="MS Gothic" w:hAnsi="Segoe UI Light" w:cs="Times New Roman"/>
        <w:b/>
        <w:bCs/>
      </w:rPr>
      <w:tblPr/>
      <w:tcPr>
        <w:tcBorders>
          <w:top w:val="single" w:sz="8" w:space="0" w:color="2B579A"/>
          <w:left w:val="single" w:sz="8" w:space="0" w:color="2B579A"/>
          <w:bottom w:val="single" w:sz="18" w:space="0" w:color="2B579A"/>
          <w:right w:val="single" w:sz="8" w:space="0" w:color="2B579A"/>
          <w:insideH w:val="nil"/>
          <w:insideV w:val="single" w:sz="8" w:space="0" w:color="2B579A"/>
        </w:tcBorders>
      </w:tcPr>
    </w:tblStylePr>
    <w:tblStylePr w:type="lastRow">
      <w:pPr>
        <w:spacing w:before="0" w:after="0" w:line="240" w:lineRule="auto"/>
      </w:pPr>
      <w:rPr>
        <w:rFonts w:ascii="Segoe UI Light" w:eastAsia="MS Gothic" w:hAnsi="Segoe UI Light" w:cs="Times New Roman"/>
        <w:b/>
        <w:bCs/>
      </w:rPr>
      <w:tblPr/>
      <w:tcPr>
        <w:tcBorders>
          <w:top w:val="double" w:sz="6" w:space="0" w:color="2B579A"/>
          <w:left w:val="single" w:sz="8" w:space="0" w:color="2B579A"/>
          <w:bottom w:val="single" w:sz="8" w:space="0" w:color="2B579A"/>
          <w:right w:val="single" w:sz="8" w:space="0" w:color="2B579A"/>
          <w:insideH w:val="nil"/>
          <w:insideV w:val="single" w:sz="8" w:space="0" w:color="2B579A"/>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2B579A"/>
          <w:left w:val="single" w:sz="8" w:space="0" w:color="2B579A"/>
          <w:bottom w:val="single" w:sz="8" w:space="0" w:color="2B579A"/>
          <w:right w:val="single" w:sz="8" w:space="0" w:color="2B579A"/>
        </w:tcBorders>
      </w:tcPr>
    </w:tblStylePr>
    <w:tblStylePr w:type="band1Vert">
      <w:tblPr/>
      <w:tcPr>
        <w:tcBorders>
          <w:top w:val="single" w:sz="8" w:space="0" w:color="2B579A"/>
          <w:left w:val="single" w:sz="8" w:space="0" w:color="2B579A"/>
          <w:bottom w:val="single" w:sz="8" w:space="0" w:color="2B579A"/>
          <w:right w:val="single" w:sz="8" w:space="0" w:color="2B579A"/>
        </w:tcBorders>
        <w:shd w:val="clear" w:color="auto" w:fill="C2D3EE"/>
      </w:tcPr>
    </w:tblStylePr>
    <w:tblStylePr w:type="band1Horz">
      <w:tblPr/>
      <w:tcPr>
        <w:tcBorders>
          <w:top w:val="single" w:sz="8" w:space="0" w:color="2B579A"/>
          <w:left w:val="single" w:sz="8" w:space="0" w:color="2B579A"/>
          <w:bottom w:val="single" w:sz="8" w:space="0" w:color="2B579A"/>
          <w:right w:val="single" w:sz="8" w:space="0" w:color="2B579A"/>
          <w:insideV w:val="single" w:sz="8" w:space="0" w:color="2B579A"/>
        </w:tcBorders>
        <w:shd w:val="clear" w:color="auto" w:fill="C2D3EE"/>
      </w:tcPr>
    </w:tblStylePr>
    <w:tblStylePr w:type="band2Horz">
      <w:tblPr/>
      <w:tcPr>
        <w:tcBorders>
          <w:top w:val="single" w:sz="8" w:space="0" w:color="2B579A"/>
          <w:left w:val="single" w:sz="8" w:space="0" w:color="2B579A"/>
          <w:bottom w:val="single" w:sz="8" w:space="0" w:color="2B579A"/>
          <w:right w:val="single" w:sz="8" w:space="0" w:color="2B579A"/>
          <w:insideV w:val="single" w:sz="8" w:space="0" w:color="2B579A"/>
        </w:tcBorders>
      </w:tcPr>
    </w:tblStylePr>
  </w:style>
  <w:style w:type="table" w:styleId="Jasnasiatkaakcent6">
    <w:name w:val="Light Grid Accent 6"/>
    <w:basedOn w:val="Standardowy"/>
    <w:uiPriority w:val="62"/>
    <w:semiHidden/>
    <w:unhideWhenUsed/>
    <w:rsid w:val="00C70628"/>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blStylePr w:type="firstRow">
      <w:pPr>
        <w:spacing w:before="0" w:after="0" w:line="240" w:lineRule="auto"/>
      </w:pPr>
      <w:rPr>
        <w:rFonts w:ascii="Segoe UI Light" w:eastAsia="MS Gothic" w:hAnsi="Segoe UI Light" w:cs="Times New Roman"/>
        <w:b/>
        <w:bCs/>
      </w:rPr>
      <w:tblPr/>
      <w:tcPr>
        <w:tcBorders>
          <w:top w:val="single" w:sz="8" w:space="0" w:color="70AD47"/>
          <w:left w:val="single" w:sz="8" w:space="0" w:color="70AD47"/>
          <w:bottom w:val="single" w:sz="18" w:space="0" w:color="70AD47"/>
          <w:right w:val="single" w:sz="8" w:space="0" w:color="70AD47"/>
          <w:insideH w:val="nil"/>
          <w:insideV w:val="single" w:sz="8" w:space="0" w:color="70AD47"/>
        </w:tcBorders>
      </w:tcPr>
    </w:tblStylePr>
    <w:tblStylePr w:type="lastRow">
      <w:pPr>
        <w:spacing w:before="0" w:after="0" w:line="240" w:lineRule="auto"/>
      </w:pPr>
      <w:rPr>
        <w:rFonts w:ascii="Segoe UI Light" w:eastAsia="MS Gothic" w:hAnsi="Segoe UI Light" w:cs="Times New Roman"/>
        <w:b/>
        <w:bCs/>
      </w:rPr>
      <w:tblPr/>
      <w:tcPr>
        <w:tcBorders>
          <w:top w:val="double" w:sz="6" w:space="0" w:color="70AD47"/>
          <w:left w:val="single" w:sz="8" w:space="0" w:color="70AD47"/>
          <w:bottom w:val="single" w:sz="8" w:space="0" w:color="70AD47"/>
          <w:right w:val="single" w:sz="8" w:space="0" w:color="70AD47"/>
          <w:insideH w:val="nil"/>
          <w:insideV w:val="single" w:sz="8" w:space="0" w:color="70AD47"/>
        </w:tcBorders>
      </w:tcPr>
    </w:tblStylePr>
    <w:tblStylePr w:type="firstCol">
      <w:rPr>
        <w:rFonts w:ascii="Segoe UI Light" w:eastAsia="MS Gothic" w:hAnsi="Segoe UI Light" w:cs="Times New Roman"/>
        <w:b/>
        <w:bCs/>
      </w:rPr>
    </w:tblStylePr>
    <w:tblStylePr w:type="lastCol">
      <w:rPr>
        <w:rFonts w:ascii="Segoe UI Light" w:eastAsia="MS Gothic" w:hAnsi="Segoe UI Light" w:cs="Times New Roman"/>
        <w:b/>
        <w:bCs/>
      </w:rPr>
      <w:tblPr/>
      <w:tcPr>
        <w:tcBorders>
          <w:top w:val="single" w:sz="8" w:space="0" w:color="70AD47"/>
          <w:left w:val="single" w:sz="8" w:space="0" w:color="70AD47"/>
          <w:bottom w:val="single" w:sz="8" w:space="0" w:color="70AD47"/>
          <w:right w:val="single" w:sz="8" w:space="0" w:color="70AD47"/>
        </w:tcBorders>
      </w:tcPr>
    </w:tblStylePr>
    <w:tblStylePr w:type="band1Vert">
      <w:tblPr/>
      <w:tcPr>
        <w:tcBorders>
          <w:top w:val="single" w:sz="8" w:space="0" w:color="70AD47"/>
          <w:left w:val="single" w:sz="8" w:space="0" w:color="70AD47"/>
          <w:bottom w:val="single" w:sz="8" w:space="0" w:color="70AD47"/>
          <w:right w:val="single" w:sz="8" w:space="0" w:color="70AD47"/>
        </w:tcBorders>
        <w:shd w:val="clear" w:color="auto" w:fill="DBEBD0"/>
      </w:tcPr>
    </w:tblStylePr>
    <w:tblStylePr w:type="band1Horz">
      <w:tblPr/>
      <w:tcPr>
        <w:tcBorders>
          <w:top w:val="single" w:sz="8" w:space="0" w:color="70AD47"/>
          <w:left w:val="single" w:sz="8" w:space="0" w:color="70AD47"/>
          <w:bottom w:val="single" w:sz="8" w:space="0" w:color="70AD47"/>
          <w:right w:val="single" w:sz="8" w:space="0" w:color="70AD47"/>
          <w:insideV w:val="single" w:sz="8" w:space="0" w:color="70AD47"/>
        </w:tcBorders>
        <w:shd w:val="clear" w:color="auto" w:fill="DBEBD0"/>
      </w:tcPr>
    </w:tblStylePr>
    <w:tblStylePr w:type="band2Horz">
      <w:tblPr/>
      <w:tcPr>
        <w:tcBorders>
          <w:top w:val="single" w:sz="8" w:space="0" w:color="70AD47"/>
          <w:left w:val="single" w:sz="8" w:space="0" w:color="70AD47"/>
          <w:bottom w:val="single" w:sz="8" w:space="0" w:color="70AD47"/>
          <w:right w:val="single" w:sz="8" w:space="0" w:color="70AD47"/>
          <w:insideV w:val="single" w:sz="8" w:space="0" w:color="70AD47"/>
        </w:tcBorders>
      </w:tcPr>
    </w:tblStylePr>
  </w:style>
  <w:style w:type="table" w:styleId="Jasnalista">
    <w:name w:val="Light List"/>
    <w:basedOn w:val="Standardowy"/>
    <w:uiPriority w:val="61"/>
    <w:semiHidden/>
    <w:unhideWhenUsed/>
    <w:rsid w:val="00C706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Jasnalistaakcent1">
    <w:name w:val="Light List Accent 1"/>
    <w:basedOn w:val="Standardowy"/>
    <w:uiPriority w:val="61"/>
    <w:semiHidden/>
    <w:unhideWhenUsed/>
    <w:rsid w:val="00C70628"/>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styleId="Jasnalistaakcent2">
    <w:name w:val="Light List Accent 2"/>
    <w:basedOn w:val="Standardowy"/>
    <w:uiPriority w:val="61"/>
    <w:semiHidden/>
    <w:unhideWhenUsed/>
    <w:rsid w:val="00C70628"/>
    <w:tblPr>
      <w:tblStyleRowBandSize w:val="1"/>
      <w:tblStyleColBandSize w:val="1"/>
      <w:tblBorders>
        <w:top w:val="single" w:sz="8" w:space="0" w:color="FF0000"/>
        <w:left w:val="single" w:sz="8" w:space="0" w:color="FF0000"/>
        <w:bottom w:val="single" w:sz="8" w:space="0" w:color="FF0000"/>
        <w:right w:val="single" w:sz="8" w:space="0" w:color="FF0000"/>
      </w:tblBorders>
    </w:tblPr>
    <w:tblStylePr w:type="firstRow">
      <w:pPr>
        <w:spacing w:before="0" w:after="0" w:line="240" w:lineRule="auto"/>
      </w:pPr>
      <w:rPr>
        <w:b/>
        <w:bCs/>
        <w:color w:val="FFFFFF"/>
      </w:rPr>
      <w:tblPr/>
      <w:tcPr>
        <w:shd w:val="clear" w:color="auto" w:fill="FF0000"/>
      </w:tcPr>
    </w:tblStylePr>
    <w:tblStylePr w:type="lastRow">
      <w:pPr>
        <w:spacing w:before="0" w:after="0" w:line="240" w:lineRule="auto"/>
      </w:pPr>
      <w:rPr>
        <w:b/>
        <w:bCs/>
      </w:rPr>
      <w:tblPr/>
      <w:tcPr>
        <w:tcBorders>
          <w:top w:val="double" w:sz="6" w:space="0" w:color="FF0000"/>
          <w:left w:val="single" w:sz="8" w:space="0" w:color="FF0000"/>
          <w:bottom w:val="single" w:sz="8" w:space="0" w:color="FF0000"/>
          <w:right w:val="single" w:sz="8" w:space="0" w:color="FF0000"/>
        </w:tcBorders>
      </w:tcPr>
    </w:tblStylePr>
    <w:tblStylePr w:type="firstCol">
      <w:rPr>
        <w:b/>
        <w:bCs/>
      </w:rPr>
    </w:tblStylePr>
    <w:tblStylePr w:type="lastCol">
      <w:rPr>
        <w:b/>
        <w:bCs/>
      </w:rPr>
    </w:tblStylePr>
    <w:tblStylePr w:type="band1Vert">
      <w:tblPr/>
      <w:tcPr>
        <w:tcBorders>
          <w:top w:val="single" w:sz="8" w:space="0" w:color="FF0000"/>
          <w:left w:val="single" w:sz="8" w:space="0" w:color="FF0000"/>
          <w:bottom w:val="single" w:sz="8" w:space="0" w:color="FF0000"/>
          <w:right w:val="single" w:sz="8" w:space="0" w:color="FF0000"/>
        </w:tcBorders>
      </w:tcPr>
    </w:tblStylePr>
    <w:tblStylePr w:type="band1Horz">
      <w:tblPr/>
      <w:tcPr>
        <w:tcBorders>
          <w:top w:val="single" w:sz="8" w:space="0" w:color="FF0000"/>
          <w:left w:val="single" w:sz="8" w:space="0" w:color="FF0000"/>
          <w:bottom w:val="single" w:sz="8" w:space="0" w:color="FF0000"/>
          <w:right w:val="single" w:sz="8" w:space="0" w:color="FF0000"/>
        </w:tcBorders>
      </w:tcPr>
    </w:tblStylePr>
  </w:style>
  <w:style w:type="table" w:styleId="Jasnalistaakcent3">
    <w:name w:val="Light List Accent 3"/>
    <w:basedOn w:val="Standardowy"/>
    <w:uiPriority w:val="61"/>
    <w:semiHidden/>
    <w:unhideWhenUsed/>
    <w:rsid w:val="00C70628"/>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pPr>
        <w:spacing w:before="0" w:after="0" w:line="240" w:lineRule="auto"/>
      </w:pPr>
      <w:rPr>
        <w:b/>
        <w:bCs/>
        <w:color w:val="FFFFFF"/>
      </w:rPr>
      <w:tblPr/>
      <w:tcPr>
        <w:shd w:val="clear" w:color="auto" w:fill="A5A5A5"/>
      </w:tcPr>
    </w:tblStylePr>
    <w:tblStylePr w:type="lastRow">
      <w:pPr>
        <w:spacing w:before="0" w:after="0" w:line="240" w:lineRule="auto"/>
      </w:pPr>
      <w:rPr>
        <w:b/>
        <w:bCs/>
      </w:rPr>
      <w:tblPr/>
      <w:tcPr>
        <w:tcBorders>
          <w:top w:val="double" w:sz="6" w:space="0" w:color="A5A5A5"/>
          <w:left w:val="single" w:sz="8" w:space="0" w:color="A5A5A5"/>
          <w:bottom w:val="single" w:sz="8" w:space="0" w:color="A5A5A5"/>
          <w:right w:val="single" w:sz="8" w:space="0" w:color="A5A5A5"/>
        </w:tcBorders>
      </w:tcPr>
    </w:tblStylePr>
    <w:tblStylePr w:type="firstCol">
      <w:rPr>
        <w:b/>
        <w:bCs/>
      </w:rPr>
    </w:tblStylePr>
    <w:tblStylePr w:type="lastCol">
      <w:rPr>
        <w:b/>
        <w:bCs/>
      </w:rPr>
    </w:tblStylePr>
    <w:tblStylePr w:type="band1Vert">
      <w:tblPr/>
      <w:tcPr>
        <w:tcBorders>
          <w:top w:val="single" w:sz="8" w:space="0" w:color="A5A5A5"/>
          <w:left w:val="single" w:sz="8" w:space="0" w:color="A5A5A5"/>
          <w:bottom w:val="single" w:sz="8" w:space="0" w:color="A5A5A5"/>
          <w:right w:val="single" w:sz="8" w:space="0" w:color="A5A5A5"/>
        </w:tcBorders>
      </w:tcPr>
    </w:tblStylePr>
    <w:tblStylePr w:type="band1Horz">
      <w:tblPr/>
      <w:tcPr>
        <w:tcBorders>
          <w:top w:val="single" w:sz="8" w:space="0" w:color="A5A5A5"/>
          <w:left w:val="single" w:sz="8" w:space="0" w:color="A5A5A5"/>
          <w:bottom w:val="single" w:sz="8" w:space="0" w:color="A5A5A5"/>
          <w:right w:val="single" w:sz="8" w:space="0" w:color="A5A5A5"/>
        </w:tcBorders>
      </w:tcPr>
    </w:tblStylePr>
  </w:style>
  <w:style w:type="table" w:styleId="Jasnalistaakcent4">
    <w:name w:val="Light List Accent 4"/>
    <w:basedOn w:val="Standardowy"/>
    <w:uiPriority w:val="61"/>
    <w:semiHidden/>
    <w:unhideWhenUsed/>
    <w:rsid w:val="00C70628"/>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pPr>
        <w:spacing w:before="0" w:after="0" w:line="240" w:lineRule="auto"/>
      </w:pPr>
      <w:rPr>
        <w:b/>
        <w:bCs/>
        <w:color w:val="FFFFFF"/>
      </w:rPr>
      <w:tblPr/>
      <w:tcPr>
        <w:shd w:val="clear" w:color="auto" w:fill="FFC000"/>
      </w:tcPr>
    </w:tblStylePr>
    <w:tblStylePr w:type="lastRow">
      <w:pPr>
        <w:spacing w:before="0" w:after="0" w:line="240" w:lineRule="auto"/>
      </w:pPr>
      <w:rPr>
        <w:b/>
        <w:bCs/>
      </w:rPr>
      <w:tblPr/>
      <w:tcPr>
        <w:tcBorders>
          <w:top w:val="double" w:sz="6" w:space="0" w:color="FFC000"/>
          <w:left w:val="single" w:sz="8" w:space="0" w:color="FFC000"/>
          <w:bottom w:val="single" w:sz="8" w:space="0" w:color="FFC000"/>
          <w:right w:val="single" w:sz="8" w:space="0" w:color="FFC000"/>
        </w:tcBorders>
      </w:tcPr>
    </w:tblStylePr>
    <w:tblStylePr w:type="firstCol">
      <w:rPr>
        <w:b/>
        <w:bCs/>
      </w:rPr>
    </w:tblStylePr>
    <w:tblStylePr w:type="lastCol">
      <w:rPr>
        <w:b/>
        <w:bCs/>
      </w:rPr>
    </w:tblStylePr>
    <w:tblStylePr w:type="band1Vert">
      <w:tblPr/>
      <w:tcPr>
        <w:tcBorders>
          <w:top w:val="single" w:sz="8" w:space="0" w:color="FFC000"/>
          <w:left w:val="single" w:sz="8" w:space="0" w:color="FFC000"/>
          <w:bottom w:val="single" w:sz="8" w:space="0" w:color="FFC000"/>
          <w:right w:val="single" w:sz="8" w:space="0" w:color="FFC000"/>
        </w:tcBorders>
      </w:tcPr>
    </w:tblStylePr>
    <w:tblStylePr w:type="band1Horz">
      <w:tblPr/>
      <w:tcPr>
        <w:tcBorders>
          <w:top w:val="single" w:sz="8" w:space="0" w:color="FFC000"/>
          <w:left w:val="single" w:sz="8" w:space="0" w:color="FFC000"/>
          <w:bottom w:val="single" w:sz="8" w:space="0" w:color="FFC000"/>
          <w:right w:val="single" w:sz="8" w:space="0" w:color="FFC000"/>
        </w:tcBorders>
      </w:tcPr>
    </w:tblStylePr>
  </w:style>
  <w:style w:type="table" w:styleId="Jasnalistaakcent5">
    <w:name w:val="Light List Accent 5"/>
    <w:basedOn w:val="Standardowy"/>
    <w:uiPriority w:val="61"/>
    <w:semiHidden/>
    <w:unhideWhenUsed/>
    <w:rsid w:val="00C70628"/>
    <w:tblPr>
      <w:tblStyleRowBandSize w:val="1"/>
      <w:tblStyleColBandSize w:val="1"/>
      <w:tblBorders>
        <w:top w:val="single" w:sz="8" w:space="0" w:color="2B579A"/>
        <w:left w:val="single" w:sz="8" w:space="0" w:color="2B579A"/>
        <w:bottom w:val="single" w:sz="8" w:space="0" w:color="2B579A"/>
        <w:right w:val="single" w:sz="8" w:space="0" w:color="2B579A"/>
      </w:tblBorders>
    </w:tblPr>
    <w:tblStylePr w:type="firstRow">
      <w:pPr>
        <w:spacing w:before="0" w:after="0" w:line="240" w:lineRule="auto"/>
      </w:pPr>
      <w:rPr>
        <w:b/>
        <w:bCs/>
        <w:color w:val="FFFFFF"/>
      </w:rPr>
      <w:tblPr/>
      <w:tcPr>
        <w:shd w:val="clear" w:color="auto" w:fill="2B579A"/>
      </w:tcPr>
    </w:tblStylePr>
    <w:tblStylePr w:type="lastRow">
      <w:pPr>
        <w:spacing w:before="0" w:after="0" w:line="240" w:lineRule="auto"/>
      </w:pPr>
      <w:rPr>
        <w:b/>
        <w:bCs/>
      </w:rPr>
      <w:tblPr/>
      <w:tcPr>
        <w:tcBorders>
          <w:top w:val="double" w:sz="6" w:space="0" w:color="2B579A"/>
          <w:left w:val="single" w:sz="8" w:space="0" w:color="2B579A"/>
          <w:bottom w:val="single" w:sz="8" w:space="0" w:color="2B579A"/>
          <w:right w:val="single" w:sz="8" w:space="0" w:color="2B579A"/>
        </w:tcBorders>
      </w:tcPr>
    </w:tblStylePr>
    <w:tblStylePr w:type="firstCol">
      <w:rPr>
        <w:b/>
        <w:bCs/>
      </w:rPr>
    </w:tblStylePr>
    <w:tblStylePr w:type="lastCol">
      <w:rPr>
        <w:b/>
        <w:bCs/>
      </w:rPr>
    </w:tblStylePr>
    <w:tblStylePr w:type="band1Vert">
      <w:tblPr/>
      <w:tcPr>
        <w:tcBorders>
          <w:top w:val="single" w:sz="8" w:space="0" w:color="2B579A"/>
          <w:left w:val="single" w:sz="8" w:space="0" w:color="2B579A"/>
          <w:bottom w:val="single" w:sz="8" w:space="0" w:color="2B579A"/>
          <w:right w:val="single" w:sz="8" w:space="0" w:color="2B579A"/>
        </w:tcBorders>
      </w:tcPr>
    </w:tblStylePr>
    <w:tblStylePr w:type="band1Horz">
      <w:tblPr/>
      <w:tcPr>
        <w:tcBorders>
          <w:top w:val="single" w:sz="8" w:space="0" w:color="2B579A"/>
          <w:left w:val="single" w:sz="8" w:space="0" w:color="2B579A"/>
          <w:bottom w:val="single" w:sz="8" w:space="0" w:color="2B579A"/>
          <w:right w:val="single" w:sz="8" w:space="0" w:color="2B579A"/>
        </w:tcBorders>
      </w:tcPr>
    </w:tblStylePr>
  </w:style>
  <w:style w:type="table" w:styleId="Jasnalistaakcent6">
    <w:name w:val="Light List Accent 6"/>
    <w:basedOn w:val="Standardowy"/>
    <w:uiPriority w:val="61"/>
    <w:semiHidden/>
    <w:unhideWhenUsed/>
    <w:rsid w:val="00C70628"/>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pPr>
        <w:spacing w:before="0" w:after="0" w:line="240" w:lineRule="auto"/>
      </w:pPr>
      <w:rPr>
        <w:b/>
        <w:bCs/>
        <w:color w:val="FFFFFF"/>
      </w:rPr>
      <w:tblPr/>
      <w:tcPr>
        <w:shd w:val="clear" w:color="auto" w:fill="70AD47"/>
      </w:tcPr>
    </w:tblStylePr>
    <w:tblStylePr w:type="lastRow">
      <w:pPr>
        <w:spacing w:before="0" w:after="0" w:line="240" w:lineRule="auto"/>
      </w:pPr>
      <w:rPr>
        <w:b/>
        <w:bCs/>
      </w:rPr>
      <w:tblPr/>
      <w:tcPr>
        <w:tcBorders>
          <w:top w:val="double" w:sz="6" w:space="0" w:color="70AD47"/>
          <w:left w:val="single" w:sz="8" w:space="0" w:color="70AD47"/>
          <w:bottom w:val="single" w:sz="8" w:space="0" w:color="70AD47"/>
          <w:right w:val="single" w:sz="8" w:space="0" w:color="70AD47"/>
        </w:tcBorders>
      </w:tcPr>
    </w:tblStylePr>
    <w:tblStylePr w:type="firstCol">
      <w:rPr>
        <w:b/>
        <w:bCs/>
      </w:rPr>
    </w:tblStylePr>
    <w:tblStylePr w:type="lastCol">
      <w:rPr>
        <w:b/>
        <w:bCs/>
      </w:rPr>
    </w:tblStylePr>
    <w:tblStylePr w:type="band1Vert">
      <w:tblPr/>
      <w:tcPr>
        <w:tcBorders>
          <w:top w:val="single" w:sz="8" w:space="0" w:color="70AD47"/>
          <w:left w:val="single" w:sz="8" w:space="0" w:color="70AD47"/>
          <w:bottom w:val="single" w:sz="8" w:space="0" w:color="70AD47"/>
          <w:right w:val="single" w:sz="8" w:space="0" w:color="70AD47"/>
        </w:tcBorders>
      </w:tcPr>
    </w:tblStylePr>
    <w:tblStylePr w:type="band1Horz">
      <w:tblPr/>
      <w:tcPr>
        <w:tcBorders>
          <w:top w:val="single" w:sz="8" w:space="0" w:color="70AD47"/>
          <w:left w:val="single" w:sz="8" w:space="0" w:color="70AD47"/>
          <w:bottom w:val="single" w:sz="8" w:space="0" w:color="70AD47"/>
          <w:right w:val="single" w:sz="8" w:space="0" w:color="70AD47"/>
        </w:tcBorders>
      </w:tcPr>
    </w:tblStylePr>
  </w:style>
  <w:style w:type="table" w:styleId="Jasnecieniowanie">
    <w:name w:val="Light Shading"/>
    <w:basedOn w:val="Standardowy"/>
    <w:uiPriority w:val="60"/>
    <w:semiHidden/>
    <w:unhideWhenUsed/>
    <w:rsid w:val="00C706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Jasnecieniowanieakcent1">
    <w:name w:val="Light Shading Accent 1"/>
    <w:basedOn w:val="Standardowy"/>
    <w:uiPriority w:val="60"/>
    <w:semiHidden/>
    <w:unhideWhenUsed/>
    <w:rsid w:val="00C70628"/>
    <w:rPr>
      <w:color w:val="2E74B5"/>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table" w:styleId="Jasnecieniowanieakcent2">
    <w:name w:val="Light Shading Accent 2"/>
    <w:basedOn w:val="Standardowy"/>
    <w:uiPriority w:val="60"/>
    <w:semiHidden/>
    <w:unhideWhenUsed/>
    <w:rsid w:val="00C70628"/>
    <w:rPr>
      <w:color w:val="BF0000"/>
    </w:rPr>
    <w:tblPr>
      <w:tblStyleRowBandSize w:val="1"/>
      <w:tblStyleColBandSize w:val="1"/>
      <w:tblBorders>
        <w:top w:val="single" w:sz="8" w:space="0" w:color="FF0000"/>
        <w:bottom w:val="single" w:sz="8" w:space="0" w:color="FF0000"/>
      </w:tblBorders>
    </w:tblPr>
    <w:tblStylePr w:type="fir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lastRow">
      <w:pPr>
        <w:spacing w:before="0" w:after="0" w:line="240" w:lineRule="auto"/>
      </w:pPr>
      <w:rPr>
        <w:b/>
        <w:bCs/>
      </w:rPr>
      <w:tblPr/>
      <w:tcPr>
        <w:tcBorders>
          <w:top w:val="single" w:sz="8" w:space="0" w:color="FF0000"/>
          <w:left w:val="nil"/>
          <w:bottom w:val="single" w:sz="8" w:space="0" w:color="FF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C0C0"/>
      </w:tcPr>
    </w:tblStylePr>
    <w:tblStylePr w:type="band1Horz">
      <w:tblPr/>
      <w:tcPr>
        <w:tcBorders>
          <w:left w:val="nil"/>
          <w:right w:val="nil"/>
          <w:insideH w:val="nil"/>
          <w:insideV w:val="nil"/>
        </w:tcBorders>
        <w:shd w:val="clear" w:color="auto" w:fill="FFC0C0"/>
      </w:tcPr>
    </w:tblStylePr>
  </w:style>
  <w:style w:type="table" w:styleId="Jasnecieniowanieakcent3">
    <w:name w:val="Light Shading Accent 3"/>
    <w:basedOn w:val="Standardowy"/>
    <w:uiPriority w:val="60"/>
    <w:semiHidden/>
    <w:unhideWhenUsed/>
    <w:rsid w:val="00C70628"/>
    <w:rPr>
      <w:color w:val="7B7B7B"/>
    </w:rPr>
    <w:tblPr>
      <w:tblStyleRowBandSize w:val="1"/>
      <w:tblStyleColBandSize w:val="1"/>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table" w:styleId="Jasnecieniowanieakcent4">
    <w:name w:val="Light Shading Accent 4"/>
    <w:basedOn w:val="Standardowy"/>
    <w:uiPriority w:val="60"/>
    <w:semiHidden/>
    <w:unhideWhenUsed/>
    <w:rsid w:val="00C70628"/>
    <w:rPr>
      <w:color w:val="BF8F00"/>
    </w:rPr>
    <w:tblPr>
      <w:tblStyleRowBandSize w:val="1"/>
      <w:tblStyleColBandSize w:val="1"/>
      <w:tblBorders>
        <w:top w:val="single" w:sz="8" w:space="0" w:color="FFC000"/>
        <w:bottom w:val="single" w:sz="8" w:space="0" w:color="FFC000"/>
      </w:tblBorders>
    </w:tblPr>
    <w:tblStylePr w:type="fir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lastRow">
      <w:pPr>
        <w:spacing w:before="0" w:after="0" w:line="240" w:lineRule="auto"/>
      </w:pPr>
      <w:rPr>
        <w:b/>
        <w:bCs/>
      </w:rPr>
      <w:tblPr/>
      <w:tcPr>
        <w:tcBorders>
          <w:top w:val="single" w:sz="8" w:space="0" w:color="FFC000"/>
          <w:left w:val="nil"/>
          <w:bottom w:val="single" w:sz="8" w:space="0" w:color="FFC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cPr>
    </w:tblStylePr>
    <w:tblStylePr w:type="band1Horz">
      <w:tblPr/>
      <w:tcPr>
        <w:tcBorders>
          <w:left w:val="nil"/>
          <w:right w:val="nil"/>
          <w:insideH w:val="nil"/>
          <w:insideV w:val="nil"/>
        </w:tcBorders>
        <w:shd w:val="clear" w:color="auto" w:fill="FFEFC0"/>
      </w:tcPr>
    </w:tblStylePr>
  </w:style>
  <w:style w:type="table" w:styleId="Jasnecieniowanieakcent5">
    <w:name w:val="Light Shading Accent 5"/>
    <w:basedOn w:val="Standardowy"/>
    <w:uiPriority w:val="60"/>
    <w:semiHidden/>
    <w:unhideWhenUsed/>
    <w:rsid w:val="00C70628"/>
    <w:rPr>
      <w:color w:val="204173"/>
    </w:rPr>
    <w:tblPr>
      <w:tblStyleRowBandSize w:val="1"/>
      <w:tblStyleColBandSize w:val="1"/>
      <w:tblBorders>
        <w:top w:val="single" w:sz="8" w:space="0" w:color="2B579A"/>
        <w:bottom w:val="single" w:sz="8" w:space="0" w:color="2B579A"/>
      </w:tblBorders>
    </w:tblPr>
    <w:tblStylePr w:type="firstRow">
      <w:pPr>
        <w:spacing w:before="0" w:after="0" w:line="240" w:lineRule="auto"/>
      </w:pPr>
      <w:rPr>
        <w:b/>
        <w:bCs/>
      </w:rPr>
      <w:tblPr/>
      <w:tcPr>
        <w:tcBorders>
          <w:top w:val="single" w:sz="8" w:space="0" w:color="2B579A"/>
          <w:left w:val="nil"/>
          <w:bottom w:val="single" w:sz="8" w:space="0" w:color="2B579A"/>
          <w:right w:val="nil"/>
          <w:insideH w:val="nil"/>
          <w:insideV w:val="nil"/>
        </w:tcBorders>
      </w:tcPr>
    </w:tblStylePr>
    <w:tblStylePr w:type="lastRow">
      <w:pPr>
        <w:spacing w:before="0" w:after="0" w:line="240" w:lineRule="auto"/>
      </w:pPr>
      <w:rPr>
        <w:b/>
        <w:bCs/>
      </w:rPr>
      <w:tblPr/>
      <w:tcPr>
        <w:tcBorders>
          <w:top w:val="single" w:sz="8" w:space="0" w:color="2B579A"/>
          <w:left w:val="nil"/>
          <w:bottom w:val="single" w:sz="8" w:space="0" w:color="2B579A"/>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2D3EE"/>
      </w:tcPr>
    </w:tblStylePr>
    <w:tblStylePr w:type="band1Horz">
      <w:tblPr/>
      <w:tcPr>
        <w:tcBorders>
          <w:left w:val="nil"/>
          <w:right w:val="nil"/>
          <w:insideH w:val="nil"/>
          <w:insideV w:val="nil"/>
        </w:tcBorders>
        <w:shd w:val="clear" w:color="auto" w:fill="C2D3EE"/>
      </w:tcPr>
    </w:tblStylePr>
  </w:style>
  <w:style w:type="table" w:styleId="Jasnecieniowanieakcent6">
    <w:name w:val="Light Shading Accent 6"/>
    <w:basedOn w:val="Standardowy"/>
    <w:uiPriority w:val="60"/>
    <w:semiHidden/>
    <w:unhideWhenUsed/>
    <w:rsid w:val="00C70628"/>
    <w:rPr>
      <w:color w:val="538135"/>
    </w:rPr>
    <w:tblPr>
      <w:tblStyleRowBandSize w:val="1"/>
      <w:tblStyleColBandSize w:val="1"/>
      <w:tblBorders>
        <w:top w:val="single" w:sz="8" w:space="0" w:color="70AD47"/>
        <w:bottom w:val="single" w:sz="8" w:space="0" w:color="70AD47"/>
      </w:tblBorders>
    </w:tblPr>
    <w:tblStylePr w:type="fir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lastRow">
      <w:pPr>
        <w:spacing w:before="0" w:after="0" w:line="240" w:lineRule="auto"/>
      </w:pPr>
      <w:rPr>
        <w:b/>
        <w:bCs/>
      </w:rPr>
      <w:tblPr/>
      <w:tcPr>
        <w:tcBorders>
          <w:top w:val="single" w:sz="8" w:space="0" w:color="70AD47"/>
          <w:left w:val="nil"/>
          <w:bottom w:val="single" w:sz="8" w:space="0" w:color="70AD47"/>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cPr>
    </w:tblStylePr>
    <w:tblStylePr w:type="band1Horz">
      <w:tblPr/>
      <w:tcPr>
        <w:tcBorders>
          <w:left w:val="nil"/>
          <w:right w:val="nil"/>
          <w:insideH w:val="nil"/>
          <w:insideV w:val="nil"/>
        </w:tcBorders>
        <w:shd w:val="clear" w:color="auto" w:fill="DBEBD0"/>
      </w:tcPr>
    </w:tblStylePr>
  </w:style>
  <w:style w:type="character" w:styleId="Numerwiersza">
    <w:name w:val="line number"/>
    <w:uiPriority w:val="99"/>
    <w:semiHidden/>
    <w:unhideWhenUsed/>
    <w:rsid w:val="00C70628"/>
    <w:rPr>
      <w:rFonts w:ascii="Segoe UI" w:hAnsi="Segoe UI" w:cs="Segoe UI"/>
    </w:rPr>
  </w:style>
  <w:style w:type="paragraph" w:styleId="Lista">
    <w:name w:val="List"/>
    <w:basedOn w:val="Normalny"/>
    <w:uiPriority w:val="99"/>
    <w:semiHidden/>
    <w:unhideWhenUsed/>
    <w:rsid w:val="00C70628"/>
    <w:pPr>
      <w:ind w:left="360" w:hanging="360"/>
      <w:contextualSpacing/>
    </w:pPr>
  </w:style>
  <w:style w:type="paragraph" w:styleId="Lista2">
    <w:name w:val="List 2"/>
    <w:basedOn w:val="Normalny"/>
    <w:uiPriority w:val="99"/>
    <w:semiHidden/>
    <w:unhideWhenUsed/>
    <w:rsid w:val="00C70628"/>
    <w:pPr>
      <w:ind w:left="720" w:hanging="360"/>
      <w:contextualSpacing/>
    </w:pPr>
  </w:style>
  <w:style w:type="paragraph" w:styleId="Lista3">
    <w:name w:val="List 3"/>
    <w:basedOn w:val="Normalny"/>
    <w:uiPriority w:val="99"/>
    <w:semiHidden/>
    <w:unhideWhenUsed/>
    <w:rsid w:val="00C70628"/>
    <w:pPr>
      <w:ind w:left="1080" w:hanging="360"/>
      <w:contextualSpacing/>
    </w:pPr>
  </w:style>
  <w:style w:type="paragraph" w:styleId="Lista4">
    <w:name w:val="List 4"/>
    <w:basedOn w:val="Normalny"/>
    <w:uiPriority w:val="99"/>
    <w:semiHidden/>
    <w:unhideWhenUsed/>
    <w:rsid w:val="00C70628"/>
    <w:pPr>
      <w:ind w:left="1440" w:hanging="360"/>
      <w:contextualSpacing/>
    </w:pPr>
  </w:style>
  <w:style w:type="paragraph" w:styleId="Lista5">
    <w:name w:val="List 5"/>
    <w:basedOn w:val="Normalny"/>
    <w:uiPriority w:val="99"/>
    <w:semiHidden/>
    <w:unhideWhenUsed/>
    <w:rsid w:val="00C70628"/>
    <w:pPr>
      <w:ind w:left="1800" w:hanging="360"/>
      <w:contextualSpacing/>
    </w:pPr>
  </w:style>
  <w:style w:type="paragraph" w:styleId="Listapunktowana2">
    <w:name w:val="List Bullet 2"/>
    <w:basedOn w:val="Normalny"/>
    <w:uiPriority w:val="99"/>
    <w:semiHidden/>
    <w:unhideWhenUsed/>
    <w:rsid w:val="00C70628"/>
    <w:pPr>
      <w:numPr>
        <w:numId w:val="11"/>
      </w:numPr>
      <w:contextualSpacing/>
    </w:pPr>
  </w:style>
  <w:style w:type="paragraph" w:styleId="Listapunktowana3">
    <w:name w:val="List Bullet 3"/>
    <w:basedOn w:val="Normalny"/>
    <w:uiPriority w:val="99"/>
    <w:semiHidden/>
    <w:unhideWhenUsed/>
    <w:rsid w:val="00C70628"/>
    <w:pPr>
      <w:numPr>
        <w:numId w:val="12"/>
      </w:numPr>
      <w:contextualSpacing/>
    </w:pPr>
  </w:style>
  <w:style w:type="paragraph" w:styleId="Listapunktowana4">
    <w:name w:val="List Bullet 4"/>
    <w:basedOn w:val="Normalny"/>
    <w:uiPriority w:val="99"/>
    <w:semiHidden/>
    <w:unhideWhenUsed/>
    <w:rsid w:val="00C70628"/>
    <w:pPr>
      <w:numPr>
        <w:numId w:val="13"/>
      </w:numPr>
      <w:contextualSpacing/>
    </w:pPr>
  </w:style>
  <w:style w:type="paragraph" w:styleId="Listapunktowana5">
    <w:name w:val="List Bullet 5"/>
    <w:basedOn w:val="Normalny"/>
    <w:uiPriority w:val="99"/>
    <w:semiHidden/>
    <w:unhideWhenUsed/>
    <w:rsid w:val="00C70628"/>
    <w:pPr>
      <w:numPr>
        <w:numId w:val="14"/>
      </w:numPr>
      <w:contextualSpacing/>
    </w:pPr>
  </w:style>
  <w:style w:type="paragraph" w:styleId="Lista-kontynuacja">
    <w:name w:val="List Continue"/>
    <w:basedOn w:val="Normalny"/>
    <w:uiPriority w:val="99"/>
    <w:semiHidden/>
    <w:unhideWhenUsed/>
    <w:rsid w:val="00C70628"/>
    <w:pPr>
      <w:spacing w:after="120"/>
      <w:ind w:left="360"/>
      <w:contextualSpacing/>
    </w:pPr>
  </w:style>
  <w:style w:type="paragraph" w:styleId="Lista-kontynuacja2">
    <w:name w:val="List Continue 2"/>
    <w:basedOn w:val="Normalny"/>
    <w:uiPriority w:val="99"/>
    <w:semiHidden/>
    <w:unhideWhenUsed/>
    <w:rsid w:val="00C70628"/>
    <w:pPr>
      <w:spacing w:after="120"/>
      <w:ind w:left="720"/>
      <w:contextualSpacing/>
    </w:pPr>
  </w:style>
  <w:style w:type="paragraph" w:styleId="Lista-kontynuacja3">
    <w:name w:val="List Continue 3"/>
    <w:basedOn w:val="Normalny"/>
    <w:uiPriority w:val="99"/>
    <w:semiHidden/>
    <w:unhideWhenUsed/>
    <w:rsid w:val="00C70628"/>
    <w:pPr>
      <w:spacing w:after="120"/>
      <w:ind w:left="1080"/>
      <w:contextualSpacing/>
    </w:pPr>
  </w:style>
  <w:style w:type="paragraph" w:styleId="Lista-kontynuacja4">
    <w:name w:val="List Continue 4"/>
    <w:basedOn w:val="Normalny"/>
    <w:uiPriority w:val="99"/>
    <w:semiHidden/>
    <w:unhideWhenUsed/>
    <w:rsid w:val="00C70628"/>
    <w:pPr>
      <w:spacing w:after="120"/>
      <w:ind w:left="1440"/>
      <w:contextualSpacing/>
    </w:pPr>
  </w:style>
  <w:style w:type="paragraph" w:styleId="Lista-kontynuacja5">
    <w:name w:val="List Continue 5"/>
    <w:basedOn w:val="Normalny"/>
    <w:uiPriority w:val="99"/>
    <w:semiHidden/>
    <w:unhideWhenUsed/>
    <w:rsid w:val="00C70628"/>
    <w:pPr>
      <w:spacing w:after="120"/>
      <w:ind w:left="1800"/>
      <w:contextualSpacing/>
    </w:pPr>
  </w:style>
  <w:style w:type="paragraph" w:styleId="Listanumerowana2">
    <w:name w:val="List Number 2"/>
    <w:basedOn w:val="Normalny"/>
    <w:uiPriority w:val="99"/>
    <w:semiHidden/>
    <w:unhideWhenUsed/>
    <w:rsid w:val="00C70628"/>
    <w:pPr>
      <w:numPr>
        <w:numId w:val="15"/>
      </w:numPr>
      <w:contextualSpacing/>
    </w:pPr>
  </w:style>
  <w:style w:type="paragraph" w:styleId="Listanumerowana3">
    <w:name w:val="List Number 3"/>
    <w:basedOn w:val="Normalny"/>
    <w:uiPriority w:val="99"/>
    <w:semiHidden/>
    <w:unhideWhenUsed/>
    <w:rsid w:val="00C70628"/>
    <w:pPr>
      <w:numPr>
        <w:numId w:val="16"/>
      </w:numPr>
      <w:contextualSpacing/>
    </w:pPr>
  </w:style>
  <w:style w:type="paragraph" w:styleId="Listanumerowana4">
    <w:name w:val="List Number 4"/>
    <w:basedOn w:val="Normalny"/>
    <w:uiPriority w:val="99"/>
    <w:semiHidden/>
    <w:unhideWhenUsed/>
    <w:rsid w:val="00C70628"/>
    <w:pPr>
      <w:numPr>
        <w:numId w:val="17"/>
      </w:numPr>
      <w:contextualSpacing/>
    </w:pPr>
  </w:style>
  <w:style w:type="paragraph" w:styleId="Listanumerowana5">
    <w:name w:val="List Number 5"/>
    <w:basedOn w:val="Normalny"/>
    <w:uiPriority w:val="99"/>
    <w:semiHidden/>
    <w:unhideWhenUsed/>
    <w:rsid w:val="00C70628"/>
    <w:pPr>
      <w:numPr>
        <w:numId w:val="18"/>
      </w:numPr>
      <w:contextualSpacing/>
    </w:pPr>
  </w:style>
  <w:style w:type="paragraph" w:styleId="Akapitzlist">
    <w:name w:val="List Paragraph"/>
    <w:basedOn w:val="Normalny"/>
    <w:uiPriority w:val="34"/>
    <w:unhideWhenUsed/>
    <w:qFormat/>
    <w:rsid w:val="00C70628"/>
    <w:pPr>
      <w:ind w:left="720"/>
      <w:contextualSpacing/>
    </w:pPr>
  </w:style>
  <w:style w:type="table" w:styleId="Tabelalisty1jasna">
    <w:name w:val="List Table 1 Light"/>
    <w:basedOn w:val="Standardowy"/>
    <w:uiPriority w:val="46"/>
    <w:rsid w:val="00C70628"/>
    <w:tblPr>
      <w:tblStyleRowBandSize w:val="1"/>
      <w:tblStyleColBandSize w:val="1"/>
    </w:tblPr>
    <w:tblStylePr w:type="firstRow">
      <w:rPr>
        <w:b/>
        <w:bCs/>
      </w:rPr>
      <w:tblPr/>
      <w:tcPr>
        <w:tcBorders>
          <w:bottom w:val="single" w:sz="4" w:space="0" w:color="666666"/>
        </w:tcBorders>
      </w:tcPr>
    </w:tblStylePr>
    <w:tblStylePr w:type="lastRow">
      <w:rPr>
        <w:b/>
        <w:bCs/>
      </w:rPr>
      <w:tblPr/>
      <w:tcPr>
        <w:tcBorders>
          <w:top w:val="sing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listy1jasnaakcent1">
    <w:name w:val="List Table 1 Light Accent 1"/>
    <w:basedOn w:val="Standardowy"/>
    <w:uiPriority w:val="46"/>
    <w:rsid w:val="00C70628"/>
    <w:tblPr>
      <w:tblStyleRowBandSize w:val="1"/>
      <w:tblStyleColBandSize w:val="1"/>
    </w:tblPr>
    <w:tblStylePr w:type="firstRow">
      <w:rPr>
        <w:b/>
        <w:bCs/>
      </w:rPr>
      <w:tblPr/>
      <w:tcPr>
        <w:tcBorders>
          <w:bottom w:val="single" w:sz="4" w:space="0" w:color="9CC2E5"/>
        </w:tcBorders>
      </w:tcPr>
    </w:tblStylePr>
    <w:tblStylePr w:type="lastRow">
      <w:rPr>
        <w:b/>
        <w:bCs/>
      </w:rPr>
      <w:tblPr/>
      <w:tcPr>
        <w:tcBorders>
          <w:top w:val="sing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listy1jasnaakcent2">
    <w:name w:val="List Table 1 Light Accent 2"/>
    <w:basedOn w:val="Standardowy"/>
    <w:uiPriority w:val="46"/>
    <w:rsid w:val="00C70628"/>
    <w:tblPr>
      <w:tblStyleRowBandSize w:val="1"/>
      <w:tblStyleColBandSize w:val="1"/>
    </w:tblPr>
    <w:tblStylePr w:type="firstRow">
      <w:rPr>
        <w:b/>
        <w:bCs/>
      </w:rPr>
      <w:tblPr/>
      <w:tcPr>
        <w:tcBorders>
          <w:bottom w:val="single" w:sz="4" w:space="0" w:color="FF6666"/>
        </w:tcBorders>
      </w:tcPr>
    </w:tblStylePr>
    <w:tblStylePr w:type="lastRow">
      <w:rPr>
        <w:b/>
        <w:bCs/>
      </w:rPr>
      <w:tblPr/>
      <w:tcPr>
        <w:tcBorders>
          <w:top w:val="single" w:sz="4" w:space="0" w:color="FF6666"/>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listy1jasnaakcent3">
    <w:name w:val="List Table 1 Light Accent 3"/>
    <w:basedOn w:val="Standardowy"/>
    <w:uiPriority w:val="46"/>
    <w:rsid w:val="00C70628"/>
    <w:tblPr>
      <w:tblStyleRowBandSize w:val="1"/>
      <w:tblStyleColBandSize w:val="1"/>
    </w:tblPr>
    <w:tblStylePr w:type="firstRow">
      <w:rPr>
        <w:b/>
        <w:bCs/>
      </w:rPr>
      <w:tblPr/>
      <w:tcPr>
        <w:tcBorders>
          <w:bottom w:val="single" w:sz="4" w:space="0" w:color="C9C9C9"/>
        </w:tcBorders>
      </w:tcPr>
    </w:tblStylePr>
    <w:tblStylePr w:type="lastRow">
      <w:rPr>
        <w:b/>
        <w:bCs/>
      </w:rPr>
      <w:tblPr/>
      <w:tcPr>
        <w:tcBorders>
          <w:top w:val="sing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listy1jasnaakcent4">
    <w:name w:val="List Table 1 Light Accent 4"/>
    <w:basedOn w:val="Standardowy"/>
    <w:uiPriority w:val="46"/>
    <w:rsid w:val="00C70628"/>
    <w:tblPr>
      <w:tblStyleRowBandSize w:val="1"/>
      <w:tblStyleColBandSize w:val="1"/>
    </w:tblPr>
    <w:tblStylePr w:type="firstRow">
      <w:rPr>
        <w:b/>
        <w:bCs/>
      </w:rPr>
      <w:tblPr/>
      <w:tcPr>
        <w:tcBorders>
          <w:bottom w:val="single" w:sz="4" w:space="0" w:color="FFD966"/>
        </w:tcBorders>
      </w:tcPr>
    </w:tblStylePr>
    <w:tblStylePr w:type="lastRow">
      <w:rPr>
        <w:b/>
        <w:bCs/>
      </w:rPr>
      <w:tblPr/>
      <w:tcPr>
        <w:tcBorders>
          <w:top w:val="sing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listy1jasnaakcent5">
    <w:name w:val="List Table 1 Light Accent 5"/>
    <w:basedOn w:val="Standardowy"/>
    <w:uiPriority w:val="46"/>
    <w:rsid w:val="00C70628"/>
    <w:tblPr>
      <w:tblStyleRowBandSize w:val="1"/>
      <w:tblStyleColBandSize w:val="1"/>
    </w:tblPr>
    <w:tblStylePr w:type="firstRow">
      <w:rPr>
        <w:b/>
        <w:bCs/>
      </w:rPr>
      <w:tblPr/>
      <w:tcPr>
        <w:tcBorders>
          <w:bottom w:val="single" w:sz="4" w:space="0" w:color="6C95D6"/>
        </w:tcBorders>
      </w:tcPr>
    </w:tblStylePr>
    <w:tblStylePr w:type="lastRow">
      <w:rPr>
        <w:b/>
        <w:bCs/>
      </w:rPr>
      <w:tblPr/>
      <w:tcPr>
        <w:tcBorders>
          <w:top w:val="single" w:sz="4" w:space="0" w:color="6C95D6"/>
        </w:tcBorders>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listy1jasnaakcent6">
    <w:name w:val="List Table 1 Light Accent 6"/>
    <w:basedOn w:val="Standardowy"/>
    <w:uiPriority w:val="46"/>
    <w:rsid w:val="00C70628"/>
    <w:tblPr>
      <w:tblStyleRowBandSize w:val="1"/>
      <w:tblStyleColBandSize w:val="1"/>
    </w:tblPr>
    <w:tblStylePr w:type="firstRow">
      <w:rPr>
        <w:b/>
        <w:bCs/>
      </w:rPr>
      <w:tblPr/>
      <w:tcPr>
        <w:tcBorders>
          <w:bottom w:val="single" w:sz="4" w:space="0" w:color="A8D08D"/>
        </w:tcBorders>
      </w:tcPr>
    </w:tblStylePr>
    <w:tblStylePr w:type="lastRow">
      <w:rPr>
        <w:b/>
        <w:bCs/>
      </w:rPr>
      <w:tblPr/>
      <w:tcPr>
        <w:tcBorders>
          <w:top w:val="sing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listy2">
    <w:name w:val="List Table 2"/>
    <w:basedOn w:val="Standardowy"/>
    <w:uiPriority w:val="47"/>
    <w:rsid w:val="00C70628"/>
    <w:tblPr>
      <w:tblStyleRowBandSize w:val="1"/>
      <w:tblStyleColBandSize w:val="1"/>
      <w:tblBorders>
        <w:top w:val="single" w:sz="4" w:space="0" w:color="666666"/>
        <w:bottom w:val="single" w:sz="4" w:space="0" w:color="666666"/>
        <w:insideH w:val="single" w:sz="4" w:space="0" w:color="66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listy2akcent1">
    <w:name w:val="List Table 2 Accent 1"/>
    <w:basedOn w:val="Standardowy"/>
    <w:uiPriority w:val="47"/>
    <w:rsid w:val="00C70628"/>
    <w:tblPr>
      <w:tblStyleRowBandSize w:val="1"/>
      <w:tblStyleColBandSize w:val="1"/>
      <w:tblBorders>
        <w:top w:val="single" w:sz="4" w:space="0" w:color="9CC2E5"/>
        <w:bottom w:val="single" w:sz="4" w:space="0" w:color="9CC2E5"/>
        <w:insideH w:val="single" w:sz="4" w:space="0" w:color="9CC2E5"/>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listy2akcent2">
    <w:name w:val="List Table 2 Accent 2"/>
    <w:basedOn w:val="Standardowy"/>
    <w:uiPriority w:val="47"/>
    <w:rsid w:val="00C70628"/>
    <w:tblPr>
      <w:tblStyleRowBandSize w:val="1"/>
      <w:tblStyleColBandSize w:val="1"/>
      <w:tblBorders>
        <w:top w:val="single" w:sz="4" w:space="0" w:color="FF6666"/>
        <w:bottom w:val="single" w:sz="4" w:space="0" w:color="FF6666"/>
        <w:insideH w:val="single" w:sz="4" w:space="0" w:color="FF66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listy2akcent3">
    <w:name w:val="List Table 2 Accent 3"/>
    <w:basedOn w:val="Standardowy"/>
    <w:uiPriority w:val="47"/>
    <w:rsid w:val="00C70628"/>
    <w:tblPr>
      <w:tblStyleRowBandSize w:val="1"/>
      <w:tblStyleColBandSize w:val="1"/>
      <w:tblBorders>
        <w:top w:val="single" w:sz="4" w:space="0" w:color="C9C9C9"/>
        <w:bottom w:val="single" w:sz="4" w:space="0" w:color="C9C9C9"/>
        <w:insideH w:val="single" w:sz="4" w:space="0" w:color="C9C9C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listy2akcent4">
    <w:name w:val="List Table 2 Accent 4"/>
    <w:basedOn w:val="Standardowy"/>
    <w:uiPriority w:val="47"/>
    <w:rsid w:val="00C70628"/>
    <w:tblPr>
      <w:tblStyleRowBandSize w:val="1"/>
      <w:tblStyleColBandSize w:val="1"/>
      <w:tblBorders>
        <w:top w:val="single" w:sz="4" w:space="0" w:color="FFD966"/>
        <w:bottom w:val="single" w:sz="4" w:space="0" w:color="FFD966"/>
        <w:insideH w:val="single" w:sz="4" w:space="0" w:color="FFD96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listy2akcent5">
    <w:name w:val="List Table 2 Accent 5"/>
    <w:basedOn w:val="Standardowy"/>
    <w:uiPriority w:val="47"/>
    <w:rsid w:val="00C70628"/>
    <w:tblPr>
      <w:tblStyleRowBandSize w:val="1"/>
      <w:tblStyleColBandSize w:val="1"/>
      <w:tblBorders>
        <w:top w:val="single" w:sz="4" w:space="0" w:color="6C95D6"/>
        <w:bottom w:val="single" w:sz="4" w:space="0" w:color="6C95D6"/>
        <w:insideH w:val="single" w:sz="4" w:space="0" w:color="6C95D6"/>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listy2akcent6">
    <w:name w:val="List Table 2 Accent 6"/>
    <w:basedOn w:val="Standardowy"/>
    <w:uiPriority w:val="47"/>
    <w:rsid w:val="00C70628"/>
    <w:tblPr>
      <w:tblStyleRowBandSize w:val="1"/>
      <w:tblStyleColBandSize w:val="1"/>
      <w:tblBorders>
        <w:top w:val="single" w:sz="4" w:space="0" w:color="A8D08D"/>
        <w:bottom w:val="single" w:sz="4" w:space="0" w:color="A8D08D"/>
        <w:insideH w:val="single" w:sz="4" w:space="0" w:color="A8D08D"/>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listy3">
    <w:name w:val="List Table 3"/>
    <w:basedOn w:val="Standardowy"/>
    <w:uiPriority w:val="48"/>
    <w:rsid w:val="00C70628"/>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rPr>
        <w:b/>
        <w:bCs/>
        <w:color w:val="FFFFFF"/>
      </w:rPr>
      <w:tblPr/>
      <w:tcPr>
        <w:shd w:val="clear" w:color="auto" w:fill="000000"/>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styleId="Tabelalisty3akcent1">
    <w:name w:val="List Table 3 Accent 1"/>
    <w:basedOn w:val="Standardowy"/>
    <w:uiPriority w:val="48"/>
    <w:rsid w:val="00C70628"/>
    <w:tblPr>
      <w:tblStyleRowBandSize w:val="1"/>
      <w:tblStyleColBandSize w:val="1"/>
      <w:tblBorders>
        <w:top w:val="single" w:sz="4" w:space="0" w:color="5B9BD5"/>
        <w:left w:val="single" w:sz="4" w:space="0" w:color="5B9BD5"/>
        <w:bottom w:val="single" w:sz="4" w:space="0" w:color="5B9BD5"/>
        <w:right w:val="single" w:sz="4" w:space="0" w:color="5B9BD5"/>
      </w:tblBorders>
    </w:tblPr>
    <w:tblStylePr w:type="firstRow">
      <w:rPr>
        <w:b/>
        <w:bCs/>
        <w:color w:val="FFFFFF"/>
      </w:rPr>
      <w:tblPr/>
      <w:tcPr>
        <w:shd w:val="clear" w:color="auto" w:fill="5B9BD5"/>
      </w:tcPr>
    </w:tblStylePr>
    <w:tblStylePr w:type="lastRow">
      <w:rPr>
        <w:b/>
        <w:bCs/>
      </w:rPr>
      <w:tblPr/>
      <w:tcPr>
        <w:tcBorders>
          <w:top w:val="double" w:sz="4" w:space="0" w:color="5B9BD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5B9BD5"/>
          <w:right w:val="single" w:sz="4" w:space="0" w:color="5B9BD5"/>
        </w:tcBorders>
      </w:tcPr>
    </w:tblStylePr>
    <w:tblStylePr w:type="band1Horz">
      <w:tblPr/>
      <w:tcPr>
        <w:tcBorders>
          <w:top w:val="single" w:sz="4" w:space="0" w:color="5B9BD5"/>
          <w:bottom w:val="single" w:sz="4" w:space="0" w:color="5B9BD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left w:val="nil"/>
        </w:tcBorders>
      </w:tcPr>
    </w:tblStylePr>
    <w:tblStylePr w:type="swCell">
      <w:tblPr/>
      <w:tcPr>
        <w:tcBorders>
          <w:top w:val="double" w:sz="4" w:space="0" w:color="5B9BD5"/>
          <w:right w:val="nil"/>
        </w:tcBorders>
      </w:tcPr>
    </w:tblStylePr>
  </w:style>
  <w:style w:type="table" w:styleId="Tabelalisty3akcent2">
    <w:name w:val="List Table 3 Accent 2"/>
    <w:basedOn w:val="Standardowy"/>
    <w:uiPriority w:val="48"/>
    <w:rsid w:val="00C70628"/>
    <w:tblPr>
      <w:tblStyleRowBandSize w:val="1"/>
      <w:tblStyleColBandSize w:val="1"/>
      <w:tblBorders>
        <w:top w:val="single" w:sz="4" w:space="0" w:color="FF0000"/>
        <w:left w:val="single" w:sz="4" w:space="0" w:color="FF0000"/>
        <w:bottom w:val="single" w:sz="4" w:space="0" w:color="FF0000"/>
        <w:right w:val="single" w:sz="4" w:space="0" w:color="FF0000"/>
      </w:tblBorders>
    </w:tblPr>
    <w:tblStylePr w:type="firstRow">
      <w:rPr>
        <w:b/>
        <w:bCs/>
        <w:color w:val="FFFFFF"/>
      </w:rPr>
      <w:tblPr/>
      <w:tcPr>
        <w:shd w:val="clear" w:color="auto" w:fill="FF0000"/>
      </w:tcPr>
    </w:tblStylePr>
    <w:tblStylePr w:type="lastRow">
      <w:rPr>
        <w:b/>
        <w:bCs/>
      </w:rPr>
      <w:tblPr/>
      <w:tcPr>
        <w:tcBorders>
          <w:top w:val="double" w:sz="4" w:space="0" w:color="FF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0000"/>
          <w:right w:val="single" w:sz="4" w:space="0" w:color="FF0000"/>
        </w:tcBorders>
      </w:tcPr>
    </w:tblStylePr>
    <w:tblStylePr w:type="band1Horz">
      <w:tblPr/>
      <w:tcPr>
        <w:tcBorders>
          <w:top w:val="single" w:sz="4" w:space="0" w:color="FF0000"/>
          <w:bottom w:val="single" w:sz="4" w:space="0" w:color="FF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0000"/>
          <w:left w:val="nil"/>
        </w:tcBorders>
      </w:tcPr>
    </w:tblStylePr>
    <w:tblStylePr w:type="swCell">
      <w:tblPr/>
      <w:tcPr>
        <w:tcBorders>
          <w:top w:val="double" w:sz="4" w:space="0" w:color="FF0000"/>
          <w:right w:val="nil"/>
        </w:tcBorders>
      </w:tcPr>
    </w:tblStylePr>
  </w:style>
  <w:style w:type="table" w:styleId="Tabelalisty3akcent3">
    <w:name w:val="List Table 3 Accent 3"/>
    <w:basedOn w:val="Standardowy"/>
    <w:uiPriority w:val="48"/>
    <w:rsid w:val="00C70628"/>
    <w:tblPr>
      <w:tblStyleRowBandSize w:val="1"/>
      <w:tblStyleColBandSize w:val="1"/>
      <w:tblBorders>
        <w:top w:val="single" w:sz="4" w:space="0" w:color="A5A5A5"/>
        <w:left w:val="single" w:sz="4" w:space="0" w:color="A5A5A5"/>
        <w:bottom w:val="single" w:sz="4" w:space="0" w:color="A5A5A5"/>
        <w:right w:val="single" w:sz="4" w:space="0" w:color="A5A5A5"/>
      </w:tblBorders>
    </w:tblPr>
    <w:tblStylePr w:type="firstRow">
      <w:rPr>
        <w:b/>
        <w:bCs/>
        <w:color w:val="FFFFFF"/>
      </w:rPr>
      <w:tblPr/>
      <w:tcPr>
        <w:shd w:val="clear" w:color="auto" w:fill="A5A5A5"/>
      </w:tcPr>
    </w:tblStylePr>
    <w:tblStylePr w:type="lastRow">
      <w:rPr>
        <w:b/>
        <w:bCs/>
      </w:rPr>
      <w:tblPr/>
      <w:tcPr>
        <w:tcBorders>
          <w:top w:val="double" w:sz="4" w:space="0" w:color="A5A5A5"/>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A5A5A5"/>
          <w:right w:val="single" w:sz="4" w:space="0" w:color="A5A5A5"/>
        </w:tcBorders>
      </w:tcPr>
    </w:tblStylePr>
    <w:tblStylePr w:type="band1Horz">
      <w:tblPr/>
      <w:tcPr>
        <w:tcBorders>
          <w:top w:val="single" w:sz="4" w:space="0" w:color="A5A5A5"/>
          <w:bottom w:val="single" w:sz="4" w:space="0" w:color="A5A5A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left w:val="nil"/>
        </w:tcBorders>
      </w:tcPr>
    </w:tblStylePr>
    <w:tblStylePr w:type="swCell">
      <w:tblPr/>
      <w:tcPr>
        <w:tcBorders>
          <w:top w:val="double" w:sz="4" w:space="0" w:color="A5A5A5"/>
          <w:right w:val="nil"/>
        </w:tcBorders>
      </w:tcPr>
    </w:tblStylePr>
  </w:style>
  <w:style w:type="table" w:styleId="Tabelalisty3akcent4">
    <w:name w:val="List Table 3 Accent 4"/>
    <w:basedOn w:val="Standardowy"/>
    <w:uiPriority w:val="48"/>
    <w:rsid w:val="00C70628"/>
    <w:tblPr>
      <w:tblStyleRowBandSize w:val="1"/>
      <w:tblStyleColBandSize w:val="1"/>
      <w:tblBorders>
        <w:top w:val="single" w:sz="4" w:space="0" w:color="FFC000"/>
        <w:left w:val="single" w:sz="4" w:space="0" w:color="FFC000"/>
        <w:bottom w:val="single" w:sz="4" w:space="0" w:color="FFC000"/>
        <w:right w:val="single" w:sz="4" w:space="0" w:color="FFC000"/>
      </w:tblBorders>
    </w:tblPr>
    <w:tblStylePr w:type="firstRow">
      <w:rPr>
        <w:b/>
        <w:bCs/>
        <w:color w:val="FFFFFF"/>
      </w:rPr>
      <w:tblPr/>
      <w:tcPr>
        <w:shd w:val="clear" w:color="auto" w:fill="FFC000"/>
      </w:tcPr>
    </w:tblStylePr>
    <w:tblStylePr w:type="lastRow">
      <w:rPr>
        <w:b/>
        <w:bCs/>
      </w:rPr>
      <w:tblPr/>
      <w:tcPr>
        <w:tcBorders>
          <w:top w:val="double" w:sz="4" w:space="0" w:color="FFC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FFC000"/>
          <w:right w:val="single" w:sz="4" w:space="0" w:color="FFC000"/>
        </w:tcBorders>
      </w:tcPr>
    </w:tblStylePr>
    <w:tblStylePr w:type="band1Horz">
      <w:tblPr/>
      <w:tcPr>
        <w:tcBorders>
          <w:top w:val="single" w:sz="4" w:space="0" w:color="FFC000"/>
          <w:bottom w:val="single" w:sz="4" w:space="0" w:color="FFC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left w:val="nil"/>
        </w:tcBorders>
      </w:tcPr>
    </w:tblStylePr>
    <w:tblStylePr w:type="swCell">
      <w:tblPr/>
      <w:tcPr>
        <w:tcBorders>
          <w:top w:val="double" w:sz="4" w:space="0" w:color="FFC000"/>
          <w:right w:val="nil"/>
        </w:tcBorders>
      </w:tcPr>
    </w:tblStylePr>
  </w:style>
  <w:style w:type="table" w:styleId="Tabelalisty3akcent5">
    <w:name w:val="List Table 3 Accent 5"/>
    <w:basedOn w:val="Standardowy"/>
    <w:uiPriority w:val="48"/>
    <w:rsid w:val="00C70628"/>
    <w:tblPr>
      <w:tblStyleRowBandSize w:val="1"/>
      <w:tblStyleColBandSize w:val="1"/>
      <w:tblBorders>
        <w:top w:val="single" w:sz="4" w:space="0" w:color="2B579A"/>
        <w:left w:val="single" w:sz="4" w:space="0" w:color="2B579A"/>
        <w:bottom w:val="single" w:sz="4" w:space="0" w:color="2B579A"/>
        <w:right w:val="single" w:sz="4" w:space="0" w:color="2B579A"/>
      </w:tblBorders>
    </w:tblPr>
    <w:tblStylePr w:type="firstRow">
      <w:rPr>
        <w:b/>
        <w:bCs/>
        <w:color w:val="FFFFFF"/>
      </w:rPr>
      <w:tblPr/>
      <w:tcPr>
        <w:shd w:val="clear" w:color="auto" w:fill="2B579A"/>
      </w:tcPr>
    </w:tblStylePr>
    <w:tblStylePr w:type="lastRow">
      <w:rPr>
        <w:b/>
        <w:bCs/>
      </w:rPr>
      <w:tblPr/>
      <w:tcPr>
        <w:tcBorders>
          <w:top w:val="double" w:sz="4" w:space="0" w:color="2B579A"/>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2B579A"/>
          <w:right w:val="single" w:sz="4" w:space="0" w:color="2B579A"/>
        </w:tcBorders>
      </w:tcPr>
    </w:tblStylePr>
    <w:tblStylePr w:type="band1Horz">
      <w:tblPr/>
      <w:tcPr>
        <w:tcBorders>
          <w:top w:val="single" w:sz="4" w:space="0" w:color="2B579A"/>
          <w:bottom w:val="single" w:sz="4" w:space="0" w:color="2B579A"/>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2B579A"/>
          <w:left w:val="nil"/>
        </w:tcBorders>
      </w:tcPr>
    </w:tblStylePr>
    <w:tblStylePr w:type="swCell">
      <w:tblPr/>
      <w:tcPr>
        <w:tcBorders>
          <w:top w:val="double" w:sz="4" w:space="0" w:color="2B579A"/>
          <w:right w:val="nil"/>
        </w:tcBorders>
      </w:tcPr>
    </w:tblStylePr>
  </w:style>
  <w:style w:type="table" w:styleId="Tabelalisty3akcent6">
    <w:name w:val="List Table 3 Accent 6"/>
    <w:basedOn w:val="Standardowy"/>
    <w:uiPriority w:val="48"/>
    <w:rsid w:val="00C70628"/>
    <w:tblPr>
      <w:tblStyleRowBandSize w:val="1"/>
      <w:tblStyleColBandSize w:val="1"/>
      <w:tblBorders>
        <w:top w:val="single" w:sz="4" w:space="0" w:color="70AD47"/>
        <w:left w:val="single" w:sz="4" w:space="0" w:color="70AD47"/>
        <w:bottom w:val="single" w:sz="4" w:space="0" w:color="70AD47"/>
        <w:right w:val="single" w:sz="4" w:space="0" w:color="70AD47"/>
      </w:tblBorders>
    </w:tblPr>
    <w:tblStylePr w:type="firstRow">
      <w:rPr>
        <w:b/>
        <w:bCs/>
        <w:color w:val="FFFFFF"/>
      </w:rPr>
      <w:tblPr/>
      <w:tcPr>
        <w:shd w:val="clear" w:color="auto" w:fill="70AD47"/>
      </w:tcPr>
    </w:tblStylePr>
    <w:tblStylePr w:type="lastRow">
      <w:rPr>
        <w:b/>
        <w:bCs/>
      </w:rPr>
      <w:tblPr/>
      <w:tcPr>
        <w:tcBorders>
          <w:top w:val="double" w:sz="4" w:space="0" w:color="70AD47"/>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70AD47"/>
          <w:right w:val="single" w:sz="4" w:space="0" w:color="70AD47"/>
        </w:tcBorders>
      </w:tcPr>
    </w:tblStylePr>
    <w:tblStylePr w:type="band1Horz">
      <w:tblPr/>
      <w:tcPr>
        <w:tcBorders>
          <w:top w:val="single" w:sz="4" w:space="0" w:color="70AD47"/>
          <w:bottom w:val="single" w:sz="4" w:space="0" w:color="70AD47"/>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left w:val="nil"/>
        </w:tcBorders>
      </w:tcPr>
    </w:tblStylePr>
    <w:tblStylePr w:type="swCell">
      <w:tblPr/>
      <w:tcPr>
        <w:tcBorders>
          <w:top w:val="double" w:sz="4" w:space="0" w:color="70AD47"/>
          <w:right w:val="nil"/>
        </w:tcBorders>
      </w:tcPr>
    </w:tblStylePr>
  </w:style>
  <w:style w:type="table" w:styleId="Tabelalisty4">
    <w:name w:val="List Table 4"/>
    <w:basedOn w:val="Standardowy"/>
    <w:uiPriority w:val="49"/>
    <w:rsid w:val="00C70628"/>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tcBorders>
        <w:shd w:val="clear" w:color="auto" w:fill="000000"/>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listy4akcent1">
    <w:name w:val="List Table 4 Accent 1"/>
    <w:basedOn w:val="Standardowy"/>
    <w:uiPriority w:val="49"/>
    <w:rsid w:val="00C70628"/>
    <w:tblPr>
      <w:tblStyleRowBandSize w:val="1"/>
      <w:tblStyleColBandSize w:val="1"/>
      <w:tblBorders>
        <w:top w:val="single" w:sz="4" w:space="0" w:color="9CC2E5"/>
        <w:left w:val="single" w:sz="4" w:space="0" w:color="9CC2E5"/>
        <w:bottom w:val="single" w:sz="4" w:space="0" w:color="9CC2E5"/>
        <w:right w:val="single" w:sz="4" w:space="0" w:color="9CC2E5"/>
        <w:insideH w:val="single" w:sz="4" w:space="0" w:color="9CC2E5"/>
      </w:tblBorders>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tcBorders>
        <w:shd w:val="clear" w:color="auto" w:fill="5B9BD5"/>
      </w:tcPr>
    </w:tblStylePr>
    <w:tblStylePr w:type="lastRow">
      <w:rPr>
        <w:b/>
        <w:bCs/>
      </w:rPr>
      <w:tblPr/>
      <w:tcPr>
        <w:tcBorders>
          <w:top w:val="double" w:sz="4" w:space="0" w:color="9CC2E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listy4akcent2">
    <w:name w:val="List Table 4 Accent 2"/>
    <w:basedOn w:val="Standardowy"/>
    <w:uiPriority w:val="49"/>
    <w:rsid w:val="00C70628"/>
    <w:tblPr>
      <w:tblStyleRowBandSize w:val="1"/>
      <w:tblStyleColBandSize w:val="1"/>
      <w:tblBorders>
        <w:top w:val="single" w:sz="4" w:space="0" w:color="FF6666"/>
        <w:left w:val="single" w:sz="4" w:space="0" w:color="FF6666"/>
        <w:bottom w:val="single" w:sz="4" w:space="0" w:color="FF6666"/>
        <w:right w:val="single" w:sz="4" w:space="0" w:color="FF6666"/>
        <w:insideH w:val="single" w:sz="4" w:space="0" w:color="FF6666"/>
      </w:tblBorders>
    </w:tblPr>
    <w:tblStylePr w:type="firstRow">
      <w:rPr>
        <w:b/>
        <w:bCs/>
        <w:color w:val="FFFFFF"/>
      </w:rPr>
      <w:tblPr/>
      <w:tcPr>
        <w:tcBorders>
          <w:top w:val="single" w:sz="4" w:space="0" w:color="FF0000"/>
          <w:left w:val="single" w:sz="4" w:space="0" w:color="FF0000"/>
          <w:bottom w:val="single" w:sz="4" w:space="0" w:color="FF0000"/>
          <w:right w:val="single" w:sz="4" w:space="0" w:color="FF0000"/>
          <w:insideH w:val="nil"/>
        </w:tcBorders>
        <w:shd w:val="clear" w:color="auto" w:fill="FF0000"/>
      </w:tcPr>
    </w:tblStylePr>
    <w:tblStylePr w:type="lastRow">
      <w:rPr>
        <w:b/>
        <w:bCs/>
      </w:rPr>
      <w:tblPr/>
      <w:tcPr>
        <w:tcBorders>
          <w:top w:val="double" w:sz="4" w:space="0" w:color="FF6666"/>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listy4akcent3">
    <w:name w:val="List Table 4 Accent 3"/>
    <w:basedOn w:val="Standardowy"/>
    <w:uiPriority w:val="49"/>
    <w:rsid w:val="00C70628"/>
    <w:tblPr>
      <w:tblStyleRowBandSize w:val="1"/>
      <w:tblStyleColBandSize w:val="1"/>
      <w:tblBorders>
        <w:top w:val="single" w:sz="4" w:space="0" w:color="C9C9C9"/>
        <w:left w:val="single" w:sz="4" w:space="0" w:color="C9C9C9"/>
        <w:bottom w:val="single" w:sz="4" w:space="0" w:color="C9C9C9"/>
        <w:right w:val="single" w:sz="4" w:space="0" w:color="C9C9C9"/>
        <w:insideH w:val="single" w:sz="4" w:space="0" w:color="C9C9C9"/>
      </w:tblBorders>
    </w:tblPr>
    <w:tblStylePr w:type="firstRow">
      <w:rPr>
        <w:b/>
        <w:bCs/>
        <w:color w:val="FFFFFF"/>
      </w:rPr>
      <w:tblPr/>
      <w:tcPr>
        <w:tcBorders>
          <w:top w:val="single" w:sz="4" w:space="0" w:color="A5A5A5"/>
          <w:left w:val="single" w:sz="4" w:space="0" w:color="A5A5A5"/>
          <w:bottom w:val="single" w:sz="4" w:space="0" w:color="A5A5A5"/>
          <w:right w:val="single" w:sz="4" w:space="0" w:color="A5A5A5"/>
          <w:insideH w:val="nil"/>
        </w:tcBorders>
        <w:shd w:val="clear" w:color="auto" w:fill="A5A5A5"/>
      </w:tcPr>
    </w:tblStylePr>
    <w:tblStylePr w:type="lastRow">
      <w:rPr>
        <w:b/>
        <w:bCs/>
      </w:rPr>
      <w:tblPr/>
      <w:tcPr>
        <w:tcBorders>
          <w:top w:val="double" w:sz="4" w:space="0" w:color="C9C9C9"/>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listy4akcent4">
    <w:name w:val="List Table 4 Accent 4"/>
    <w:basedOn w:val="Standardowy"/>
    <w:uiPriority w:val="49"/>
    <w:rsid w:val="00C70628"/>
    <w:tblPr>
      <w:tblStyleRowBandSize w:val="1"/>
      <w:tblStyleColBandSize w:val="1"/>
      <w:tblBorders>
        <w:top w:val="single" w:sz="4" w:space="0" w:color="FFD966"/>
        <w:left w:val="single" w:sz="4" w:space="0" w:color="FFD966"/>
        <w:bottom w:val="single" w:sz="4" w:space="0" w:color="FFD966"/>
        <w:right w:val="single" w:sz="4" w:space="0" w:color="FFD966"/>
        <w:insideH w:val="single" w:sz="4" w:space="0" w:color="FFD966"/>
      </w:tblBorders>
    </w:tblPr>
    <w:tblStylePr w:type="firstRow">
      <w:rPr>
        <w:b/>
        <w:bCs/>
        <w:color w:val="FFFFFF"/>
      </w:rPr>
      <w:tblPr/>
      <w:tcPr>
        <w:tcBorders>
          <w:top w:val="single" w:sz="4" w:space="0" w:color="FFC000"/>
          <w:left w:val="single" w:sz="4" w:space="0" w:color="FFC000"/>
          <w:bottom w:val="single" w:sz="4" w:space="0" w:color="FFC000"/>
          <w:right w:val="single" w:sz="4" w:space="0" w:color="FFC000"/>
          <w:insideH w:val="nil"/>
        </w:tcBorders>
        <w:shd w:val="clear" w:color="auto" w:fill="FFC000"/>
      </w:tcPr>
    </w:tblStylePr>
    <w:tblStylePr w:type="lastRow">
      <w:rPr>
        <w:b/>
        <w:bCs/>
      </w:rPr>
      <w:tblPr/>
      <w:tcPr>
        <w:tcBorders>
          <w:top w:val="double" w:sz="4" w:space="0" w:color="FFD966"/>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listy4akcent5">
    <w:name w:val="List Table 4 Accent 5"/>
    <w:basedOn w:val="Standardowy"/>
    <w:uiPriority w:val="49"/>
    <w:rsid w:val="00C70628"/>
    <w:tblPr>
      <w:tblStyleRowBandSize w:val="1"/>
      <w:tblStyleColBandSize w:val="1"/>
      <w:tblBorders>
        <w:top w:val="single" w:sz="4" w:space="0" w:color="6C95D6"/>
        <w:left w:val="single" w:sz="4" w:space="0" w:color="6C95D6"/>
        <w:bottom w:val="single" w:sz="4" w:space="0" w:color="6C95D6"/>
        <w:right w:val="single" w:sz="4" w:space="0" w:color="6C95D6"/>
        <w:insideH w:val="single" w:sz="4" w:space="0" w:color="6C95D6"/>
      </w:tblBorders>
    </w:tblPr>
    <w:tblStylePr w:type="firstRow">
      <w:rPr>
        <w:b/>
        <w:bCs/>
        <w:color w:val="FFFFFF"/>
      </w:rPr>
      <w:tblPr/>
      <w:tcPr>
        <w:tcBorders>
          <w:top w:val="single" w:sz="4" w:space="0" w:color="2B579A"/>
          <w:left w:val="single" w:sz="4" w:space="0" w:color="2B579A"/>
          <w:bottom w:val="single" w:sz="4" w:space="0" w:color="2B579A"/>
          <w:right w:val="single" w:sz="4" w:space="0" w:color="2B579A"/>
          <w:insideH w:val="nil"/>
        </w:tcBorders>
        <w:shd w:val="clear" w:color="auto" w:fill="2B579A"/>
      </w:tcPr>
    </w:tblStylePr>
    <w:tblStylePr w:type="lastRow">
      <w:rPr>
        <w:b/>
        <w:bCs/>
      </w:rPr>
      <w:tblPr/>
      <w:tcPr>
        <w:tcBorders>
          <w:top w:val="double" w:sz="4" w:space="0" w:color="6C95D6"/>
        </w:tcBorders>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listy4akcent6">
    <w:name w:val="List Table 4 Accent 6"/>
    <w:basedOn w:val="Standardowy"/>
    <w:uiPriority w:val="49"/>
    <w:rsid w:val="00C70628"/>
    <w:tblPr>
      <w:tblStyleRowBandSize w:val="1"/>
      <w:tblStyleColBandSize w:val="1"/>
      <w:tblBorders>
        <w:top w:val="single" w:sz="4" w:space="0" w:color="A8D08D"/>
        <w:left w:val="single" w:sz="4" w:space="0" w:color="A8D08D"/>
        <w:bottom w:val="single" w:sz="4" w:space="0" w:color="A8D08D"/>
        <w:right w:val="single" w:sz="4" w:space="0" w:color="A8D08D"/>
        <w:insideH w:val="single" w:sz="4" w:space="0" w:color="A8D08D"/>
      </w:tblBorders>
    </w:tblPr>
    <w:tblStylePr w:type="firstRow">
      <w:rPr>
        <w:b/>
        <w:bCs/>
        <w:color w:val="FFFFFF"/>
      </w:rPr>
      <w:tblPr/>
      <w:tcPr>
        <w:tcBorders>
          <w:top w:val="single" w:sz="4" w:space="0" w:color="70AD47"/>
          <w:left w:val="single" w:sz="4" w:space="0" w:color="70AD47"/>
          <w:bottom w:val="single" w:sz="4" w:space="0" w:color="70AD47"/>
          <w:right w:val="single" w:sz="4" w:space="0" w:color="70AD47"/>
          <w:insideH w:val="nil"/>
        </w:tcBorders>
        <w:shd w:val="clear" w:color="auto" w:fill="70AD47"/>
      </w:tcPr>
    </w:tblStylePr>
    <w:tblStylePr w:type="lastRow">
      <w:rPr>
        <w:b/>
        <w:bCs/>
      </w:rPr>
      <w:tblPr/>
      <w:tcPr>
        <w:tcBorders>
          <w:top w:val="double" w:sz="4" w:space="0" w:color="A8D08D"/>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listy5ciemna">
    <w:name w:val="List Table 5 Dark"/>
    <w:basedOn w:val="Standardowy"/>
    <w:uiPriority w:val="50"/>
    <w:rsid w:val="00C70628"/>
    <w:rPr>
      <w:color w:val="FFFFFF"/>
    </w:rPr>
    <w:tblPr>
      <w:tblStyleRowBandSize w:val="1"/>
      <w:tblStyleColBandSize w:val="1"/>
      <w:tblBorders>
        <w:top w:val="single" w:sz="24" w:space="0" w:color="000000"/>
        <w:left w:val="single" w:sz="24" w:space="0" w:color="000000"/>
        <w:bottom w:val="single" w:sz="24" w:space="0" w:color="000000"/>
        <w:right w:val="single" w:sz="24" w:space="0" w:color="000000"/>
      </w:tblBorders>
    </w:tblPr>
    <w:tcPr>
      <w:shd w:val="clear" w:color="auto" w:fill="00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1">
    <w:name w:val="List Table 5 Dark Accent 1"/>
    <w:basedOn w:val="Standardowy"/>
    <w:uiPriority w:val="50"/>
    <w:rsid w:val="00C70628"/>
    <w:rPr>
      <w:color w:val="FFFFFF"/>
    </w:rPr>
    <w:tblPr>
      <w:tblStyleRowBandSize w:val="1"/>
      <w:tblStyleColBandSize w:val="1"/>
      <w:tblBorders>
        <w:top w:val="single" w:sz="24" w:space="0" w:color="5B9BD5"/>
        <w:left w:val="single" w:sz="24" w:space="0" w:color="5B9BD5"/>
        <w:bottom w:val="single" w:sz="24" w:space="0" w:color="5B9BD5"/>
        <w:right w:val="single" w:sz="24" w:space="0" w:color="5B9BD5"/>
      </w:tblBorders>
    </w:tblPr>
    <w:tcPr>
      <w:shd w:val="clear" w:color="auto" w:fill="5B9BD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2">
    <w:name w:val="List Table 5 Dark Accent 2"/>
    <w:basedOn w:val="Standardowy"/>
    <w:uiPriority w:val="50"/>
    <w:rsid w:val="00C70628"/>
    <w:rPr>
      <w:color w:val="FFFFFF"/>
    </w:rPr>
    <w:tblPr>
      <w:tblStyleRowBandSize w:val="1"/>
      <w:tblStyleColBandSize w:val="1"/>
      <w:tblBorders>
        <w:top w:val="single" w:sz="24" w:space="0" w:color="FF0000"/>
        <w:left w:val="single" w:sz="24" w:space="0" w:color="FF0000"/>
        <w:bottom w:val="single" w:sz="24" w:space="0" w:color="FF0000"/>
        <w:right w:val="single" w:sz="24" w:space="0" w:color="FF0000"/>
      </w:tblBorders>
    </w:tblPr>
    <w:tcPr>
      <w:shd w:val="clear" w:color="auto" w:fill="FF0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3">
    <w:name w:val="List Table 5 Dark Accent 3"/>
    <w:basedOn w:val="Standardowy"/>
    <w:uiPriority w:val="50"/>
    <w:rsid w:val="00C70628"/>
    <w:rPr>
      <w:color w:val="FFFFFF"/>
    </w:rPr>
    <w:tblPr>
      <w:tblStyleRowBandSize w:val="1"/>
      <w:tblStyleColBandSize w:val="1"/>
      <w:tblBorders>
        <w:top w:val="single" w:sz="24" w:space="0" w:color="A5A5A5"/>
        <w:left w:val="single" w:sz="24" w:space="0" w:color="A5A5A5"/>
        <w:bottom w:val="single" w:sz="24" w:space="0" w:color="A5A5A5"/>
        <w:right w:val="single" w:sz="24" w:space="0" w:color="A5A5A5"/>
      </w:tblBorders>
    </w:tblPr>
    <w:tcPr>
      <w:shd w:val="clear" w:color="auto" w:fill="A5A5A5"/>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4">
    <w:name w:val="List Table 5 Dark Accent 4"/>
    <w:basedOn w:val="Standardowy"/>
    <w:uiPriority w:val="50"/>
    <w:rsid w:val="00C70628"/>
    <w:rPr>
      <w:color w:val="FFFFFF"/>
    </w:rPr>
    <w:tblPr>
      <w:tblStyleRowBandSize w:val="1"/>
      <w:tblStyleColBandSize w:val="1"/>
      <w:tblBorders>
        <w:top w:val="single" w:sz="24" w:space="0" w:color="FFC000"/>
        <w:left w:val="single" w:sz="24" w:space="0" w:color="FFC000"/>
        <w:bottom w:val="single" w:sz="24" w:space="0" w:color="FFC000"/>
        <w:right w:val="single" w:sz="24" w:space="0" w:color="FFC000"/>
      </w:tblBorders>
    </w:tblPr>
    <w:tcPr>
      <w:shd w:val="clear" w:color="auto" w:fill="FFC000"/>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5">
    <w:name w:val="List Table 5 Dark Accent 5"/>
    <w:basedOn w:val="Standardowy"/>
    <w:uiPriority w:val="50"/>
    <w:rsid w:val="00C70628"/>
    <w:rPr>
      <w:color w:val="FFFFFF"/>
    </w:rPr>
    <w:tblPr>
      <w:tblStyleRowBandSize w:val="1"/>
      <w:tblStyleColBandSize w:val="1"/>
      <w:tblBorders>
        <w:top w:val="single" w:sz="24" w:space="0" w:color="2B579A"/>
        <w:left w:val="single" w:sz="24" w:space="0" w:color="2B579A"/>
        <w:bottom w:val="single" w:sz="24" w:space="0" w:color="2B579A"/>
        <w:right w:val="single" w:sz="24" w:space="0" w:color="2B579A"/>
      </w:tblBorders>
    </w:tblPr>
    <w:tcPr>
      <w:shd w:val="clear" w:color="auto" w:fill="2B579A"/>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5ciemnaakcent6">
    <w:name w:val="List Table 5 Dark Accent 6"/>
    <w:basedOn w:val="Standardowy"/>
    <w:uiPriority w:val="50"/>
    <w:rsid w:val="00C70628"/>
    <w:rPr>
      <w:color w:val="FFFFFF"/>
    </w:rPr>
    <w:tblPr>
      <w:tblStyleRowBandSize w:val="1"/>
      <w:tblStyleColBandSize w:val="1"/>
      <w:tblBorders>
        <w:top w:val="single" w:sz="24" w:space="0" w:color="70AD47"/>
        <w:left w:val="single" w:sz="24" w:space="0" w:color="70AD47"/>
        <w:bottom w:val="single" w:sz="24" w:space="0" w:color="70AD47"/>
        <w:right w:val="single" w:sz="24" w:space="0" w:color="70AD47"/>
      </w:tblBorders>
    </w:tblPr>
    <w:tcPr>
      <w:shd w:val="clear" w:color="auto" w:fill="70AD47"/>
    </w:tcPr>
    <w:tblStylePr w:type="firstRow">
      <w:rPr>
        <w:b/>
        <w:bCs/>
      </w:rPr>
      <w:tblPr/>
      <w:tcPr>
        <w:tcBorders>
          <w:bottom w:val="single" w:sz="18" w:space="0" w:color="FFFFFF"/>
        </w:tcBorders>
      </w:tcPr>
    </w:tblStylePr>
    <w:tblStylePr w:type="lastRow">
      <w:rPr>
        <w:b/>
        <w:bCs/>
      </w:rPr>
      <w:tblPr/>
      <w:tcPr>
        <w:tcBorders>
          <w:top w:val="single" w:sz="4" w:space="0" w:color="FFFFFF"/>
        </w:tcBorders>
      </w:tcPr>
    </w:tblStylePr>
    <w:tblStylePr w:type="firstCol">
      <w:rPr>
        <w:b/>
        <w:bCs/>
      </w:rPr>
      <w:tblPr/>
      <w:tcPr>
        <w:tcBorders>
          <w:right w:val="single" w:sz="4" w:space="0" w:color="FFFFFF"/>
        </w:tcBorders>
      </w:tcPr>
    </w:tblStylePr>
    <w:tblStylePr w:type="lastCol">
      <w:rPr>
        <w:b/>
        <w:bCs/>
      </w:rPr>
      <w:tblPr/>
      <w:tcPr>
        <w:tcBorders>
          <w:left w:val="single" w:sz="4" w:space="0" w:color="FFFFFF"/>
        </w:tcBorders>
      </w:tcPr>
    </w:tblStylePr>
    <w:tblStylePr w:type="band1Vert">
      <w:tblPr/>
      <w:tcPr>
        <w:tcBorders>
          <w:left w:val="single" w:sz="4" w:space="0" w:color="FFFFFF"/>
          <w:right w:val="single" w:sz="4" w:space="0" w:color="FFFFFF"/>
        </w:tcBorders>
      </w:tcPr>
    </w:tblStylePr>
    <w:tblStylePr w:type="band2Vert">
      <w:tblPr/>
      <w:tcPr>
        <w:tcBorders>
          <w:left w:val="single" w:sz="4" w:space="0" w:color="FFFFFF"/>
          <w:right w:val="single" w:sz="4" w:space="0" w:color="FFFFFF"/>
        </w:tcBorders>
      </w:tcPr>
    </w:tblStylePr>
    <w:tblStylePr w:type="band1Horz">
      <w:tblPr/>
      <w:tcPr>
        <w:tcBorders>
          <w:top w:val="single" w:sz="4" w:space="0" w:color="FFFFFF"/>
          <w:bottom w:val="single" w:sz="4" w:space="0" w:color="FFFFFF"/>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elalisty6kolorowa">
    <w:name w:val="List Table 6 Colorful"/>
    <w:basedOn w:val="Standardowy"/>
    <w:uiPriority w:val="51"/>
    <w:rsid w:val="00C70628"/>
    <w:rPr>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Tabelalisty6kolorowaakcent1">
    <w:name w:val="List Table 6 Colorful Accent 1"/>
    <w:basedOn w:val="Standardowy"/>
    <w:uiPriority w:val="51"/>
    <w:rsid w:val="00C70628"/>
    <w:rPr>
      <w:color w:val="2E74B5"/>
    </w:rPr>
    <w:tblPr>
      <w:tblStyleRowBandSize w:val="1"/>
      <w:tblStyleColBandSize w:val="1"/>
      <w:tblBorders>
        <w:top w:val="single" w:sz="4" w:space="0" w:color="5B9BD5"/>
        <w:bottom w:val="single" w:sz="4" w:space="0" w:color="5B9BD5"/>
      </w:tblBorders>
    </w:tblPr>
    <w:tblStylePr w:type="firstRow">
      <w:rPr>
        <w:b/>
        <w:bCs/>
      </w:rPr>
      <w:tblPr/>
      <w:tcPr>
        <w:tcBorders>
          <w:bottom w:val="single" w:sz="4" w:space="0" w:color="5B9BD5"/>
        </w:tcBorders>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styleId="Tabelalisty6kolorowaakcent2">
    <w:name w:val="List Table 6 Colorful Accent 2"/>
    <w:basedOn w:val="Standardowy"/>
    <w:uiPriority w:val="51"/>
    <w:rsid w:val="00C70628"/>
    <w:rPr>
      <w:color w:val="BF0000"/>
    </w:rPr>
    <w:tblPr>
      <w:tblStyleRowBandSize w:val="1"/>
      <w:tblStyleColBandSize w:val="1"/>
      <w:tblBorders>
        <w:top w:val="single" w:sz="4" w:space="0" w:color="FF0000"/>
        <w:bottom w:val="single" w:sz="4" w:space="0" w:color="FF0000"/>
      </w:tblBorders>
    </w:tblPr>
    <w:tblStylePr w:type="firstRow">
      <w:rPr>
        <w:b/>
        <w:bCs/>
      </w:rPr>
      <w:tblPr/>
      <w:tcPr>
        <w:tcBorders>
          <w:bottom w:val="single" w:sz="4" w:space="0" w:color="FF0000"/>
        </w:tcBorders>
      </w:tcPr>
    </w:tblStylePr>
    <w:tblStylePr w:type="lastRow">
      <w:rPr>
        <w:b/>
        <w:bCs/>
      </w:rPr>
      <w:tblPr/>
      <w:tcPr>
        <w:tcBorders>
          <w:top w:val="double" w:sz="4" w:space="0" w:color="FF0000"/>
        </w:tcBorders>
      </w:tcPr>
    </w:tblStylePr>
    <w:tblStylePr w:type="firstCol">
      <w:rPr>
        <w:b/>
        <w:bCs/>
      </w:rPr>
    </w:tblStylePr>
    <w:tblStylePr w:type="lastCol">
      <w:rPr>
        <w:b/>
        <w:bCs/>
      </w:rPr>
    </w:tblStylePr>
    <w:tblStylePr w:type="band1Vert">
      <w:tblPr/>
      <w:tcPr>
        <w:shd w:val="clear" w:color="auto" w:fill="FFCCCC"/>
      </w:tcPr>
    </w:tblStylePr>
    <w:tblStylePr w:type="band1Horz">
      <w:tblPr/>
      <w:tcPr>
        <w:shd w:val="clear" w:color="auto" w:fill="FFCCCC"/>
      </w:tcPr>
    </w:tblStylePr>
  </w:style>
  <w:style w:type="table" w:styleId="Tabelalisty6kolorowaakcent3">
    <w:name w:val="List Table 6 Colorful Accent 3"/>
    <w:basedOn w:val="Standardowy"/>
    <w:uiPriority w:val="51"/>
    <w:rsid w:val="00C70628"/>
    <w:rPr>
      <w:color w:val="7B7B7B"/>
    </w:rPr>
    <w:tblPr>
      <w:tblStyleRowBandSize w:val="1"/>
      <w:tblStyleColBandSize w:val="1"/>
      <w:tblBorders>
        <w:top w:val="single" w:sz="4" w:space="0" w:color="A5A5A5"/>
        <w:bottom w:val="single" w:sz="4" w:space="0" w:color="A5A5A5"/>
      </w:tblBorders>
    </w:tblPr>
    <w:tblStylePr w:type="firstRow">
      <w:rPr>
        <w:b/>
        <w:bCs/>
      </w:rPr>
      <w:tblPr/>
      <w:tcPr>
        <w:tcBorders>
          <w:bottom w:val="single" w:sz="4" w:space="0" w:color="A5A5A5"/>
        </w:tcBorders>
      </w:tcPr>
    </w:tblStylePr>
    <w:tblStylePr w:type="lastRow">
      <w:rPr>
        <w:b/>
        <w:bCs/>
      </w:rPr>
      <w:tblPr/>
      <w:tcPr>
        <w:tcBorders>
          <w:top w:val="double" w:sz="4" w:space="0" w:color="A5A5A5"/>
        </w:tcBorders>
      </w:tcPr>
    </w:tblStylePr>
    <w:tblStylePr w:type="firstCol">
      <w:rPr>
        <w:b/>
        <w:bCs/>
      </w:rPr>
    </w:tblStylePr>
    <w:tblStylePr w:type="lastCol">
      <w:rPr>
        <w:b/>
        <w:bCs/>
      </w:rPr>
    </w:tblStylePr>
    <w:tblStylePr w:type="band1Vert">
      <w:tblPr/>
      <w:tcPr>
        <w:shd w:val="clear" w:color="auto" w:fill="EDEDED"/>
      </w:tcPr>
    </w:tblStylePr>
    <w:tblStylePr w:type="band1Horz">
      <w:tblPr/>
      <w:tcPr>
        <w:shd w:val="clear" w:color="auto" w:fill="EDEDED"/>
      </w:tcPr>
    </w:tblStylePr>
  </w:style>
  <w:style w:type="table" w:styleId="Tabelalisty6kolorowaakcent4">
    <w:name w:val="List Table 6 Colorful Accent 4"/>
    <w:basedOn w:val="Standardowy"/>
    <w:uiPriority w:val="51"/>
    <w:rsid w:val="00C70628"/>
    <w:rPr>
      <w:color w:val="BF8F00"/>
    </w:rPr>
    <w:tblPr>
      <w:tblStyleRowBandSize w:val="1"/>
      <w:tblStyleColBandSize w:val="1"/>
      <w:tblBorders>
        <w:top w:val="single" w:sz="4" w:space="0" w:color="FFC000"/>
        <w:bottom w:val="single" w:sz="4" w:space="0" w:color="FFC000"/>
      </w:tblBorders>
    </w:tblPr>
    <w:tblStylePr w:type="firstRow">
      <w:rPr>
        <w:b/>
        <w:bCs/>
      </w:rPr>
      <w:tblPr/>
      <w:tcPr>
        <w:tcBorders>
          <w:bottom w:val="single" w:sz="4" w:space="0" w:color="FFC000"/>
        </w:tcBorders>
      </w:tcPr>
    </w:tblStylePr>
    <w:tblStylePr w:type="lastRow">
      <w:rPr>
        <w:b/>
        <w:bCs/>
      </w:rPr>
      <w:tblPr/>
      <w:tcPr>
        <w:tcBorders>
          <w:top w:val="double" w:sz="4" w:space="0" w:color="FFC000"/>
        </w:tcBorders>
      </w:tcPr>
    </w:tblStylePr>
    <w:tblStylePr w:type="firstCol">
      <w:rPr>
        <w:b/>
        <w:bCs/>
      </w:rPr>
    </w:tblStylePr>
    <w:tblStylePr w:type="lastCol">
      <w:rPr>
        <w:b/>
        <w:bCs/>
      </w:rPr>
    </w:tblStylePr>
    <w:tblStylePr w:type="band1Vert">
      <w:tblPr/>
      <w:tcPr>
        <w:shd w:val="clear" w:color="auto" w:fill="FFF2CC"/>
      </w:tcPr>
    </w:tblStylePr>
    <w:tblStylePr w:type="band1Horz">
      <w:tblPr/>
      <w:tcPr>
        <w:shd w:val="clear" w:color="auto" w:fill="FFF2CC"/>
      </w:tcPr>
    </w:tblStylePr>
  </w:style>
  <w:style w:type="table" w:styleId="Tabelalisty6kolorowaakcent5">
    <w:name w:val="List Table 6 Colorful Accent 5"/>
    <w:basedOn w:val="Standardowy"/>
    <w:uiPriority w:val="51"/>
    <w:rsid w:val="00C70628"/>
    <w:rPr>
      <w:color w:val="204173"/>
    </w:rPr>
    <w:tblPr>
      <w:tblStyleRowBandSize w:val="1"/>
      <w:tblStyleColBandSize w:val="1"/>
      <w:tblBorders>
        <w:top w:val="single" w:sz="4" w:space="0" w:color="2B579A"/>
        <w:bottom w:val="single" w:sz="4" w:space="0" w:color="2B579A"/>
      </w:tblBorders>
    </w:tblPr>
    <w:tblStylePr w:type="firstRow">
      <w:rPr>
        <w:b/>
        <w:bCs/>
      </w:rPr>
      <w:tblPr/>
      <w:tcPr>
        <w:tcBorders>
          <w:bottom w:val="single" w:sz="4" w:space="0" w:color="2B579A"/>
        </w:tcBorders>
      </w:tcPr>
    </w:tblStylePr>
    <w:tblStylePr w:type="lastRow">
      <w:rPr>
        <w:b/>
        <w:bCs/>
      </w:rPr>
      <w:tblPr/>
      <w:tcPr>
        <w:tcBorders>
          <w:top w:val="double" w:sz="4" w:space="0" w:color="2B579A"/>
        </w:tcBorders>
      </w:tcPr>
    </w:tblStylePr>
    <w:tblStylePr w:type="firstCol">
      <w:rPr>
        <w:b/>
        <w:bCs/>
      </w:rPr>
    </w:tblStylePr>
    <w:tblStylePr w:type="lastCol">
      <w:rPr>
        <w:b/>
        <w:bCs/>
      </w:rPr>
    </w:tblStylePr>
    <w:tblStylePr w:type="band1Vert">
      <w:tblPr/>
      <w:tcPr>
        <w:shd w:val="clear" w:color="auto" w:fill="CEDBF1"/>
      </w:tcPr>
    </w:tblStylePr>
    <w:tblStylePr w:type="band1Horz">
      <w:tblPr/>
      <w:tcPr>
        <w:shd w:val="clear" w:color="auto" w:fill="CEDBF1"/>
      </w:tcPr>
    </w:tblStylePr>
  </w:style>
  <w:style w:type="table" w:styleId="Tabelalisty6kolorowaakcent6">
    <w:name w:val="List Table 6 Colorful Accent 6"/>
    <w:basedOn w:val="Standardowy"/>
    <w:uiPriority w:val="51"/>
    <w:rsid w:val="00C70628"/>
    <w:rPr>
      <w:color w:val="538135"/>
    </w:rPr>
    <w:tblPr>
      <w:tblStyleRowBandSize w:val="1"/>
      <w:tblStyleColBandSize w:val="1"/>
      <w:tblBorders>
        <w:top w:val="single" w:sz="4" w:space="0" w:color="70AD47"/>
        <w:bottom w:val="single" w:sz="4" w:space="0" w:color="70AD47"/>
      </w:tblBorders>
    </w:tblPr>
    <w:tblStylePr w:type="firstRow">
      <w:rPr>
        <w:b/>
        <w:bCs/>
      </w:rPr>
      <w:tblPr/>
      <w:tcPr>
        <w:tcBorders>
          <w:bottom w:val="single" w:sz="4" w:space="0" w:color="70AD47"/>
        </w:tcBorders>
      </w:tcPr>
    </w:tblStylePr>
    <w:tblStylePr w:type="lastRow">
      <w:rPr>
        <w:b/>
        <w:bCs/>
      </w:rPr>
      <w:tblPr/>
      <w:tcPr>
        <w:tcBorders>
          <w:top w:val="double" w:sz="4" w:space="0" w:color="70AD47"/>
        </w:tcBorders>
      </w:tcPr>
    </w:tblStylePr>
    <w:tblStylePr w:type="firstCol">
      <w:rPr>
        <w:b/>
        <w:bCs/>
      </w:rPr>
    </w:tblStylePr>
    <w:tblStylePr w:type="lastCol">
      <w:rPr>
        <w:b/>
        <w:bCs/>
      </w:rPr>
    </w:tblStylePr>
    <w:tblStylePr w:type="band1Vert">
      <w:tblPr/>
      <w:tcPr>
        <w:shd w:val="clear" w:color="auto" w:fill="E2EFD9"/>
      </w:tcPr>
    </w:tblStylePr>
    <w:tblStylePr w:type="band1Horz">
      <w:tblPr/>
      <w:tcPr>
        <w:shd w:val="clear" w:color="auto" w:fill="E2EFD9"/>
      </w:tcPr>
    </w:tblStylePr>
  </w:style>
  <w:style w:type="table" w:styleId="Tabelalisty7kolorowa">
    <w:name w:val="List Table 7 Colorful"/>
    <w:basedOn w:val="Standardowy"/>
    <w:uiPriority w:val="52"/>
    <w:rsid w:val="00C70628"/>
    <w:rPr>
      <w:color w:val="000000"/>
    </w:rPr>
    <w:tblPr>
      <w:tblStyleRowBandSize w:val="1"/>
      <w:tblStyleColBandSize w:val="1"/>
    </w:tblPr>
    <w:tblStylePr w:type="firstRow">
      <w:rPr>
        <w:rFonts w:ascii="Segoe UI Light" w:eastAsia="MS Gothic" w:hAnsi="Segoe UI Light" w:cs="Times New Roman"/>
        <w:i/>
        <w:iCs/>
        <w:sz w:val="26"/>
      </w:rPr>
      <w:tblPr/>
      <w:tcPr>
        <w:tcBorders>
          <w:bottom w:val="single" w:sz="4" w:space="0" w:color="000000"/>
        </w:tcBorders>
        <w:shd w:val="clear" w:color="auto" w:fill="FFFFFF"/>
      </w:tcPr>
    </w:tblStylePr>
    <w:tblStylePr w:type="lastRow">
      <w:rPr>
        <w:rFonts w:ascii="Segoe UI Light" w:eastAsia="MS Gothic" w:hAnsi="Segoe UI Light" w:cs="Times New Roman"/>
        <w:i/>
        <w:iCs/>
        <w:sz w:val="26"/>
      </w:rPr>
      <w:tblPr/>
      <w:tcPr>
        <w:tcBorders>
          <w:top w:val="single" w:sz="4" w:space="0" w:color="000000"/>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000000"/>
        </w:tcBorders>
        <w:shd w:val="clear" w:color="auto" w:fill="FFFFFF"/>
      </w:tcPr>
    </w:tblStylePr>
    <w:tblStylePr w:type="lastCol">
      <w:rPr>
        <w:rFonts w:ascii="Segoe UI Light" w:eastAsia="MS Gothic" w:hAnsi="Segoe UI Light" w:cs="Times New Roman"/>
        <w:i/>
        <w:iCs/>
        <w:sz w:val="26"/>
      </w:rPr>
      <w:tblPr/>
      <w:tcPr>
        <w:tcBorders>
          <w:left w:val="single" w:sz="4" w:space="0" w:color="000000"/>
        </w:tcBorders>
        <w:shd w:val="clear" w:color="auto" w:fill="FFFFFF"/>
      </w:tcPr>
    </w:tblStylePr>
    <w:tblStylePr w:type="band1Vert">
      <w:tblPr/>
      <w:tcPr>
        <w:shd w:val="clear" w:color="auto" w:fill="CCCCCC"/>
      </w:tcPr>
    </w:tblStylePr>
    <w:tblStylePr w:type="band1Horz">
      <w:tblPr/>
      <w:tcPr>
        <w:shd w:val="clear" w:color="auto" w:fill="CC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1">
    <w:name w:val="List Table 7 Colorful Accent 1"/>
    <w:basedOn w:val="Standardowy"/>
    <w:uiPriority w:val="52"/>
    <w:rsid w:val="00C70628"/>
    <w:rPr>
      <w:color w:val="2E74B5"/>
    </w:rPr>
    <w:tblPr>
      <w:tblStyleRowBandSize w:val="1"/>
      <w:tblStyleColBandSize w:val="1"/>
    </w:tblPr>
    <w:tblStylePr w:type="firstRow">
      <w:rPr>
        <w:rFonts w:ascii="Segoe UI Light" w:eastAsia="MS Gothic" w:hAnsi="Segoe UI Light" w:cs="Times New Roman"/>
        <w:i/>
        <w:iCs/>
        <w:sz w:val="26"/>
      </w:rPr>
      <w:tblPr/>
      <w:tcPr>
        <w:tcBorders>
          <w:bottom w:val="single" w:sz="4" w:space="0" w:color="5B9BD5"/>
        </w:tcBorders>
        <w:shd w:val="clear" w:color="auto" w:fill="FFFFFF"/>
      </w:tcPr>
    </w:tblStylePr>
    <w:tblStylePr w:type="lastRow">
      <w:rPr>
        <w:rFonts w:ascii="Segoe UI Light" w:eastAsia="MS Gothic" w:hAnsi="Segoe UI Light" w:cs="Times New Roman"/>
        <w:i/>
        <w:iCs/>
        <w:sz w:val="26"/>
      </w:rPr>
      <w:tblPr/>
      <w:tcPr>
        <w:tcBorders>
          <w:top w:val="single" w:sz="4" w:space="0" w:color="5B9BD5"/>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5B9BD5"/>
        </w:tcBorders>
        <w:shd w:val="clear" w:color="auto" w:fill="FFFFFF"/>
      </w:tcPr>
    </w:tblStylePr>
    <w:tblStylePr w:type="lastCol">
      <w:rPr>
        <w:rFonts w:ascii="Segoe UI Light" w:eastAsia="MS Gothic" w:hAnsi="Segoe UI Light" w:cs="Times New Roman"/>
        <w:i/>
        <w:iCs/>
        <w:sz w:val="26"/>
      </w:rPr>
      <w:tblPr/>
      <w:tcPr>
        <w:tcBorders>
          <w:left w:val="single" w:sz="4" w:space="0" w:color="5B9BD5"/>
        </w:tcBorders>
        <w:shd w:val="clear" w:color="auto" w:fill="FFFFFF"/>
      </w:tcPr>
    </w:tblStylePr>
    <w:tblStylePr w:type="band1Vert">
      <w:tblPr/>
      <w:tcPr>
        <w:shd w:val="clear" w:color="auto" w:fill="DEEAF6"/>
      </w:tcPr>
    </w:tblStylePr>
    <w:tblStylePr w:type="band1Horz">
      <w:tblPr/>
      <w:tcPr>
        <w:shd w:val="clear" w:color="auto" w:fill="DEEAF6"/>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2">
    <w:name w:val="List Table 7 Colorful Accent 2"/>
    <w:basedOn w:val="Standardowy"/>
    <w:uiPriority w:val="52"/>
    <w:rsid w:val="00C70628"/>
    <w:rPr>
      <w:color w:val="BF0000"/>
    </w:rPr>
    <w:tblPr>
      <w:tblStyleRowBandSize w:val="1"/>
      <w:tblStyleColBandSize w:val="1"/>
    </w:tblPr>
    <w:tblStylePr w:type="firstRow">
      <w:rPr>
        <w:rFonts w:ascii="Segoe UI Light" w:eastAsia="MS Gothic" w:hAnsi="Segoe UI Light" w:cs="Times New Roman"/>
        <w:i/>
        <w:iCs/>
        <w:sz w:val="26"/>
      </w:rPr>
      <w:tblPr/>
      <w:tcPr>
        <w:tcBorders>
          <w:bottom w:val="single" w:sz="4" w:space="0" w:color="FF0000"/>
        </w:tcBorders>
        <w:shd w:val="clear" w:color="auto" w:fill="FFFFFF"/>
      </w:tcPr>
    </w:tblStylePr>
    <w:tblStylePr w:type="lastRow">
      <w:rPr>
        <w:rFonts w:ascii="Segoe UI Light" w:eastAsia="MS Gothic" w:hAnsi="Segoe UI Light" w:cs="Times New Roman"/>
        <w:i/>
        <w:iCs/>
        <w:sz w:val="26"/>
      </w:rPr>
      <w:tblPr/>
      <w:tcPr>
        <w:tcBorders>
          <w:top w:val="single" w:sz="4" w:space="0" w:color="FF0000"/>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FF0000"/>
        </w:tcBorders>
        <w:shd w:val="clear" w:color="auto" w:fill="FFFFFF"/>
      </w:tcPr>
    </w:tblStylePr>
    <w:tblStylePr w:type="lastCol">
      <w:rPr>
        <w:rFonts w:ascii="Segoe UI Light" w:eastAsia="MS Gothic" w:hAnsi="Segoe UI Light" w:cs="Times New Roman"/>
        <w:i/>
        <w:iCs/>
        <w:sz w:val="26"/>
      </w:rPr>
      <w:tblPr/>
      <w:tcPr>
        <w:tcBorders>
          <w:left w:val="single" w:sz="4" w:space="0" w:color="FF0000"/>
        </w:tcBorders>
        <w:shd w:val="clear" w:color="auto" w:fill="FFFFFF"/>
      </w:tcPr>
    </w:tblStylePr>
    <w:tblStylePr w:type="band1Vert">
      <w:tblPr/>
      <w:tcPr>
        <w:shd w:val="clear" w:color="auto" w:fill="FFCCCC"/>
      </w:tcPr>
    </w:tblStylePr>
    <w:tblStylePr w:type="band1Horz">
      <w:tblPr/>
      <w:tcPr>
        <w:shd w:val="clear" w:color="auto" w:fill="FFCC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3">
    <w:name w:val="List Table 7 Colorful Accent 3"/>
    <w:basedOn w:val="Standardowy"/>
    <w:uiPriority w:val="52"/>
    <w:rsid w:val="00C70628"/>
    <w:rPr>
      <w:color w:val="7B7B7B"/>
    </w:rPr>
    <w:tblPr>
      <w:tblStyleRowBandSize w:val="1"/>
      <w:tblStyleColBandSize w:val="1"/>
    </w:tblPr>
    <w:tblStylePr w:type="firstRow">
      <w:rPr>
        <w:rFonts w:ascii="Segoe UI Light" w:eastAsia="MS Gothic" w:hAnsi="Segoe UI Light" w:cs="Times New Roman"/>
        <w:i/>
        <w:iCs/>
        <w:sz w:val="26"/>
      </w:rPr>
      <w:tblPr/>
      <w:tcPr>
        <w:tcBorders>
          <w:bottom w:val="single" w:sz="4" w:space="0" w:color="A5A5A5"/>
        </w:tcBorders>
        <w:shd w:val="clear" w:color="auto" w:fill="FFFFFF"/>
      </w:tcPr>
    </w:tblStylePr>
    <w:tblStylePr w:type="lastRow">
      <w:rPr>
        <w:rFonts w:ascii="Segoe UI Light" w:eastAsia="MS Gothic" w:hAnsi="Segoe UI Light" w:cs="Times New Roman"/>
        <w:i/>
        <w:iCs/>
        <w:sz w:val="26"/>
      </w:rPr>
      <w:tblPr/>
      <w:tcPr>
        <w:tcBorders>
          <w:top w:val="single" w:sz="4" w:space="0" w:color="A5A5A5"/>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A5A5A5"/>
        </w:tcBorders>
        <w:shd w:val="clear" w:color="auto" w:fill="FFFFFF"/>
      </w:tcPr>
    </w:tblStylePr>
    <w:tblStylePr w:type="lastCol">
      <w:rPr>
        <w:rFonts w:ascii="Segoe UI Light" w:eastAsia="MS Gothic" w:hAnsi="Segoe UI Light" w:cs="Times New Roman"/>
        <w:i/>
        <w:iCs/>
        <w:sz w:val="26"/>
      </w:rPr>
      <w:tblPr/>
      <w:tcPr>
        <w:tcBorders>
          <w:left w:val="single" w:sz="4" w:space="0" w:color="A5A5A5"/>
        </w:tcBorders>
        <w:shd w:val="clear" w:color="auto" w:fill="FFFFFF"/>
      </w:tcPr>
    </w:tblStylePr>
    <w:tblStylePr w:type="band1Vert">
      <w:tblPr/>
      <w:tcPr>
        <w:shd w:val="clear" w:color="auto" w:fill="EDEDED"/>
      </w:tcPr>
    </w:tblStylePr>
    <w:tblStylePr w:type="band1Horz">
      <w:tblPr/>
      <w:tcPr>
        <w:shd w:val="clear" w:color="auto" w:fill="EDEDED"/>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4">
    <w:name w:val="List Table 7 Colorful Accent 4"/>
    <w:basedOn w:val="Standardowy"/>
    <w:uiPriority w:val="52"/>
    <w:rsid w:val="00C70628"/>
    <w:rPr>
      <w:color w:val="BF8F00"/>
    </w:rPr>
    <w:tblPr>
      <w:tblStyleRowBandSize w:val="1"/>
      <w:tblStyleColBandSize w:val="1"/>
    </w:tblPr>
    <w:tblStylePr w:type="firstRow">
      <w:rPr>
        <w:rFonts w:ascii="Segoe UI Light" w:eastAsia="MS Gothic" w:hAnsi="Segoe UI Light" w:cs="Times New Roman"/>
        <w:i/>
        <w:iCs/>
        <w:sz w:val="26"/>
      </w:rPr>
      <w:tblPr/>
      <w:tcPr>
        <w:tcBorders>
          <w:bottom w:val="single" w:sz="4" w:space="0" w:color="FFC000"/>
        </w:tcBorders>
        <w:shd w:val="clear" w:color="auto" w:fill="FFFFFF"/>
      </w:tcPr>
    </w:tblStylePr>
    <w:tblStylePr w:type="lastRow">
      <w:rPr>
        <w:rFonts w:ascii="Segoe UI Light" w:eastAsia="MS Gothic" w:hAnsi="Segoe UI Light" w:cs="Times New Roman"/>
        <w:i/>
        <w:iCs/>
        <w:sz w:val="26"/>
      </w:rPr>
      <w:tblPr/>
      <w:tcPr>
        <w:tcBorders>
          <w:top w:val="single" w:sz="4" w:space="0" w:color="FFC000"/>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FFC000"/>
        </w:tcBorders>
        <w:shd w:val="clear" w:color="auto" w:fill="FFFFFF"/>
      </w:tcPr>
    </w:tblStylePr>
    <w:tblStylePr w:type="lastCol">
      <w:rPr>
        <w:rFonts w:ascii="Segoe UI Light" w:eastAsia="MS Gothic" w:hAnsi="Segoe UI Light" w:cs="Times New Roman"/>
        <w:i/>
        <w:iCs/>
        <w:sz w:val="26"/>
      </w:rPr>
      <w:tblPr/>
      <w:tcPr>
        <w:tcBorders>
          <w:left w:val="single" w:sz="4" w:space="0" w:color="FFC000"/>
        </w:tcBorders>
        <w:shd w:val="clear" w:color="auto" w:fill="FFFFFF"/>
      </w:tcPr>
    </w:tblStylePr>
    <w:tblStylePr w:type="band1Vert">
      <w:tblPr/>
      <w:tcPr>
        <w:shd w:val="clear" w:color="auto" w:fill="FFF2CC"/>
      </w:tcPr>
    </w:tblStylePr>
    <w:tblStylePr w:type="band1Horz">
      <w:tblPr/>
      <w:tcPr>
        <w:shd w:val="clear" w:color="auto" w:fill="FFF2CC"/>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5">
    <w:name w:val="List Table 7 Colorful Accent 5"/>
    <w:basedOn w:val="Standardowy"/>
    <w:uiPriority w:val="52"/>
    <w:rsid w:val="00C70628"/>
    <w:rPr>
      <w:color w:val="204173"/>
    </w:rPr>
    <w:tblPr>
      <w:tblStyleRowBandSize w:val="1"/>
      <w:tblStyleColBandSize w:val="1"/>
    </w:tblPr>
    <w:tblStylePr w:type="firstRow">
      <w:rPr>
        <w:rFonts w:ascii="Segoe UI Light" w:eastAsia="MS Gothic" w:hAnsi="Segoe UI Light" w:cs="Times New Roman"/>
        <w:i/>
        <w:iCs/>
        <w:sz w:val="26"/>
      </w:rPr>
      <w:tblPr/>
      <w:tcPr>
        <w:tcBorders>
          <w:bottom w:val="single" w:sz="4" w:space="0" w:color="2B579A"/>
        </w:tcBorders>
        <w:shd w:val="clear" w:color="auto" w:fill="FFFFFF"/>
      </w:tcPr>
    </w:tblStylePr>
    <w:tblStylePr w:type="lastRow">
      <w:rPr>
        <w:rFonts w:ascii="Segoe UI Light" w:eastAsia="MS Gothic" w:hAnsi="Segoe UI Light" w:cs="Times New Roman"/>
        <w:i/>
        <w:iCs/>
        <w:sz w:val="26"/>
      </w:rPr>
      <w:tblPr/>
      <w:tcPr>
        <w:tcBorders>
          <w:top w:val="single" w:sz="4" w:space="0" w:color="2B579A"/>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2B579A"/>
        </w:tcBorders>
        <w:shd w:val="clear" w:color="auto" w:fill="FFFFFF"/>
      </w:tcPr>
    </w:tblStylePr>
    <w:tblStylePr w:type="lastCol">
      <w:rPr>
        <w:rFonts w:ascii="Segoe UI Light" w:eastAsia="MS Gothic" w:hAnsi="Segoe UI Light" w:cs="Times New Roman"/>
        <w:i/>
        <w:iCs/>
        <w:sz w:val="26"/>
      </w:rPr>
      <w:tblPr/>
      <w:tcPr>
        <w:tcBorders>
          <w:left w:val="single" w:sz="4" w:space="0" w:color="2B579A"/>
        </w:tcBorders>
        <w:shd w:val="clear" w:color="auto" w:fill="FFFFFF"/>
      </w:tcPr>
    </w:tblStylePr>
    <w:tblStylePr w:type="band1Vert">
      <w:tblPr/>
      <w:tcPr>
        <w:shd w:val="clear" w:color="auto" w:fill="CEDBF1"/>
      </w:tcPr>
    </w:tblStylePr>
    <w:tblStylePr w:type="band1Horz">
      <w:tblPr/>
      <w:tcPr>
        <w:shd w:val="clear" w:color="auto" w:fill="CEDBF1"/>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listy7kolorowaakcent6">
    <w:name w:val="List Table 7 Colorful Accent 6"/>
    <w:basedOn w:val="Standardowy"/>
    <w:uiPriority w:val="52"/>
    <w:rsid w:val="00C70628"/>
    <w:rPr>
      <w:color w:val="538135"/>
    </w:rPr>
    <w:tblPr>
      <w:tblStyleRowBandSize w:val="1"/>
      <w:tblStyleColBandSize w:val="1"/>
    </w:tblPr>
    <w:tblStylePr w:type="firstRow">
      <w:rPr>
        <w:rFonts w:ascii="Segoe UI Light" w:eastAsia="MS Gothic" w:hAnsi="Segoe UI Light" w:cs="Times New Roman"/>
        <w:i/>
        <w:iCs/>
        <w:sz w:val="26"/>
      </w:rPr>
      <w:tblPr/>
      <w:tcPr>
        <w:tcBorders>
          <w:bottom w:val="single" w:sz="4" w:space="0" w:color="70AD47"/>
        </w:tcBorders>
        <w:shd w:val="clear" w:color="auto" w:fill="FFFFFF"/>
      </w:tcPr>
    </w:tblStylePr>
    <w:tblStylePr w:type="lastRow">
      <w:rPr>
        <w:rFonts w:ascii="Segoe UI Light" w:eastAsia="MS Gothic" w:hAnsi="Segoe UI Light" w:cs="Times New Roman"/>
        <w:i/>
        <w:iCs/>
        <w:sz w:val="26"/>
      </w:rPr>
      <w:tblPr/>
      <w:tcPr>
        <w:tcBorders>
          <w:top w:val="single" w:sz="4" w:space="0" w:color="70AD47"/>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70AD47"/>
        </w:tcBorders>
        <w:shd w:val="clear" w:color="auto" w:fill="FFFFFF"/>
      </w:tcPr>
    </w:tblStylePr>
    <w:tblStylePr w:type="lastCol">
      <w:rPr>
        <w:rFonts w:ascii="Segoe UI Light" w:eastAsia="MS Gothic" w:hAnsi="Segoe UI Light" w:cs="Times New Roman"/>
        <w:i/>
        <w:iCs/>
        <w:sz w:val="26"/>
      </w:rPr>
      <w:tblPr/>
      <w:tcPr>
        <w:tcBorders>
          <w:left w:val="single" w:sz="4" w:space="0" w:color="70AD47"/>
        </w:tcBorders>
        <w:shd w:val="clear" w:color="auto" w:fill="FFFFFF"/>
      </w:tcPr>
    </w:tblStylePr>
    <w:tblStylePr w:type="band1Vert">
      <w:tblPr/>
      <w:tcPr>
        <w:shd w:val="clear" w:color="auto" w:fill="E2EFD9"/>
      </w:tcPr>
    </w:tblStylePr>
    <w:tblStylePr w:type="band1Horz">
      <w:tblPr/>
      <w:tcPr>
        <w:shd w:val="clear" w:color="auto" w:fill="E2EFD9"/>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kstmakra">
    <w:name w:val="macro"/>
    <w:link w:val="TekstmakraZnak"/>
    <w:uiPriority w:val="99"/>
    <w:semiHidden/>
    <w:unhideWhenUsed/>
    <w:rsid w:val="00C70628"/>
    <w:pPr>
      <w:tabs>
        <w:tab w:val="left" w:pos="480"/>
        <w:tab w:val="left" w:pos="960"/>
        <w:tab w:val="left" w:pos="1440"/>
        <w:tab w:val="left" w:pos="1920"/>
        <w:tab w:val="left" w:pos="2400"/>
        <w:tab w:val="left" w:pos="2880"/>
        <w:tab w:val="left" w:pos="3360"/>
        <w:tab w:val="left" w:pos="3840"/>
        <w:tab w:val="left" w:pos="4320"/>
      </w:tabs>
      <w:spacing w:before="160" w:line="259" w:lineRule="auto"/>
    </w:pPr>
    <w:rPr>
      <w:rFonts w:ascii="Consolas" w:hAnsi="Consolas" w:cs="Consolas"/>
      <w:sz w:val="22"/>
      <w:lang w:eastAsia="en-US"/>
    </w:rPr>
  </w:style>
  <w:style w:type="character" w:customStyle="1" w:styleId="TekstmakraZnak">
    <w:name w:val="Tekst makra Znak"/>
    <w:link w:val="Tekstmakra"/>
    <w:uiPriority w:val="99"/>
    <w:semiHidden/>
    <w:rsid w:val="00C70628"/>
    <w:rPr>
      <w:rFonts w:ascii="Consolas" w:hAnsi="Consolas" w:cs="Consolas"/>
      <w:szCs w:val="20"/>
    </w:rPr>
  </w:style>
  <w:style w:type="table" w:styleId="redniasiatka1">
    <w:name w:val="Medium Grid 1"/>
    <w:basedOn w:val="Standardowy"/>
    <w:uiPriority w:val="67"/>
    <w:semiHidden/>
    <w:unhideWhenUsed/>
    <w:rsid w:val="00C706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redniasiatka1akcent1">
    <w:name w:val="Medium Grid 1 Accent 1"/>
    <w:basedOn w:val="Standardowy"/>
    <w:uiPriority w:val="67"/>
    <w:semiHidden/>
    <w:unhideWhenUsed/>
    <w:rsid w:val="00C7062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insideV w:val="single" w:sz="8" w:space="0" w:color="84B3DF"/>
      </w:tblBorders>
    </w:tblPr>
    <w:tcPr>
      <w:shd w:val="clear" w:color="auto" w:fill="D6E6F4"/>
    </w:tcPr>
    <w:tblStylePr w:type="firstRow">
      <w:rPr>
        <w:b/>
        <w:bCs/>
      </w:rPr>
    </w:tblStylePr>
    <w:tblStylePr w:type="lastRow">
      <w:rPr>
        <w:b/>
        <w:bCs/>
      </w:rPr>
      <w:tblPr/>
      <w:tcPr>
        <w:tcBorders>
          <w:top w:val="single" w:sz="18" w:space="0" w:color="84B3DF"/>
        </w:tcBorders>
      </w:tcPr>
    </w:tblStylePr>
    <w:tblStylePr w:type="firstCol">
      <w:rPr>
        <w:b/>
        <w:bCs/>
      </w:rPr>
    </w:tblStylePr>
    <w:tblStylePr w:type="lastCol">
      <w:rPr>
        <w:b/>
        <w:bCs/>
      </w:rPr>
    </w:tblStylePr>
    <w:tblStylePr w:type="band1Vert">
      <w:tblPr/>
      <w:tcPr>
        <w:shd w:val="clear" w:color="auto" w:fill="ADCCEA"/>
      </w:tcPr>
    </w:tblStylePr>
    <w:tblStylePr w:type="band1Horz">
      <w:tblPr/>
      <w:tcPr>
        <w:shd w:val="clear" w:color="auto" w:fill="ADCCEA"/>
      </w:tcPr>
    </w:tblStylePr>
  </w:style>
  <w:style w:type="table" w:styleId="redniasiatka1akcent2">
    <w:name w:val="Medium Grid 1 Accent 2"/>
    <w:basedOn w:val="Standardowy"/>
    <w:uiPriority w:val="67"/>
    <w:semiHidden/>
    <w:unhideWhenUsed/>
    <w:rsid w:val="00C70628"/>
    <w:tblPr>
      <w:tblStyleRowBandSize w:val="1"/>
      <w:tblStyleColBandSize w:val="1"/>
      <w:tblBorders>
        <w:top w:val="single" w:sz="8" w:space="0" w:color="FF4040"/>
        <w:left w:val="single" w:sz="8" w:space="0" w:color="FF4040"/>
        <w:bottom w:val="single" w:sz="8" w:space="0" w:color="FF4040"/>
        <w:right w:val="single" w:sz="8" w:space="0" w:color="FF4040"/>
        <w:insideH w:val="single" w:sz="8" w:space="0" w:color="FF4040"/>
        <w:insideV w:val="single" w:sz="8" w:space="0" w:color="FF4040"/>
      </w:tblBorders>
    </w:tblPr>
    <w:tcPr>
      <w:shd w:val="clear" w:color="auto" w:fill="FFC0C0"/>
    </w:tcPr>
    <w:tblStylePr w:type="firstRow">
      <w:rPr>
        <w:b/>
        <w:bCs/>
      </w:rPr>
    </w:tblStylePr>
    <w:tblStylePr w:type="lastRow">
      <w:rPr>
        <w:b/>
        <w:bCs/>
      </w:rPr>
      <w:tblPr/>
      <w:tcPr>
        <w:tcBorders>
          <w:top w:val="single" w:sz="18" w:space="0" w:color="FF4040"/>
        </w:tcBorders>
      </w:tcPr>
    </w:tblStylePr>
    <w:tblStylePr w:type="firstCol">
      <w:rPr>
        <w:b/>
        <w:bCs/>
      </w:rPr>
    </w:tblStylePr>
    <w:tblStylePr w:type="lastCol">
      <w:rPr>
        <w:b/>
        <w:bCs/>
      </w:rPr>
    </w:tblStylePr>
    <w:tblStylePr w:type="band1Vert">
      <w:tblPr/>
      <w:tcPr>
        <w:shd w:val="clear" w:color="auto" w:fill="FF8080"/>
      </w:tcPr>
    </w:tblStylePr>
    <w:tblStylePr w:type="band1Horz">
      <w:tblPr/>
      <w:tcPr>
        <w:shd w:val="clear" w:color="auto" w:fill="FF8080"/>
      </w:tcPr>
    </w:tblStylePr>
  </w:style>
  <w:style w:type="table" w:styleId="redniasiatka1akcent3">
    <w:name w:val="Medium Grid 1 Accent 3"/>
    <w:basedOn w:val="Standardowy"/>
    <w:uiPriority w:val="67"/>
    <w:semiHidden/>
    <w:unhideWhenUsed/>
    <w:rsid w:val="00C7062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table" w:styleId="redniasiatka1akcent4">
    <w:name w:val="Medium Grid 1 Accent 4"/>
    <w:basedOn w:val="Standardowy"/>
    <w:uiPriority w:val="67"/>
    <w:semiHidden/>
    <w:unhideWhenUsed/>
    <w:rsid w:val="00C7062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insideV w:val="single" w:sz="8" w:space="0" w:color="FFCF40"/>
      </w:tblBorders>
    </w:tblPr>
    <w:tcPr>
      <w:shd w:val="clear" w:color="auto" w:fill="FFEFC0"/>
    </w:tcPr>
    <w:tblStylePr w:type="firstRow">
      <w:rPr>
        <w:b/>
        <w:bCs/>
      </w:rPr>
    </w:tblStylePr>
    <w:tblStylePr w:type="lastRow">
      <w:rPr>
        <w:b/>
        <w:bCs/>
      </w:rPr>
      <w:tblPr/>
      <w:tcPr>
        <w:tcBorders>
          <w:top w:val="single" w:sz="18" w:space="0" w:color="FFCF40"/>
        </w:tcBorders>
      </w:tcPr>
    </w:tblStylePr>
    <w:tblStylePr w:type="firstCol">
      <w:rPr>
        <w:b/>
        <w:bCs/>
      </w:rPr>
    </w:tblStylePr>
    <w:tblStylePr w:type="lastCol">
      <w:rPr>
        <w:b/>
        <w:bCs/>
      </w:rPr>
    </w:tblStylePr>
    <w:tblStylePr w:type="band1Vert">
      <w:tblPr/>
      <w:tcPr>
        <w:shd w:val="clear" w:color="auto" w:fill="FFDF80"/>
      </w:tcPr>
    </w:tblStylePr>
    <w:tblStylePr w:type="band1Horz">
      <w:tblPr/>
      <w:tcPr>
        <w:shd w:val="clear" w:color="auto" w:fill="FFDF80"/>
      </w:tcPr>
    </w:tblStylePr>
  </w:style>
  <w:style w:type="table" w:styleId="redniasiatka1akcent5">
    <w:name w:val="Medium Grid 1 Accent 5"/>
    <w:basedOn w:val="Standardowy"/>
    <w:uiPriority w:val="67"/>
    <w:semiHidden/>
    <w:unhideWhenUsed/>
    <w:rsid w:val="00C70628"/>
    <w:tblPr>
      <w:tblStyleRowBandSize w:val="1"/>
      <w:tblStyleColBandSize w:val="1"/>
      <w:tblBorders>
        <w:top w:val="single" w:sz="8" w:space="0" w:color="477BCB"/>
        <w:left w:val="single" w:sz="8" w:space="0" w:color="477BCB"/>
        <w:bottom w:val="single" w:sz="8" w:space="0" w:color="477BCB"/>
        <w:right w:val="single" w:sz="8" w:space="0" w:color="477BCB"/>
        <w:insideH w:val="single" w:sz="8" w:space="0" w:color="477BCB"/>
        <w:insideV w:val="single" w:sz="8" w:space="0" w:color="477BCB"/>
      </w:tblBorders>
    </w:tblPr>
    <w:tcPr>
      <w:shd w:val="clear" w:color="auto" w:fill="C2D3EE"/>
    </w:tcPr>
    <w:tblStylePr w:type="firstRow">
      <w:rPr>
        <w:b/>
        <w:bCs/>
      </w:rPr>
    </w:tblStylePr>
    <w:tblStylePr w:type="lastRow">
      <w:rPr>
        <w:b/>
        <w:bCs/>
      </w:rPr>
      <w:tblPr/>
      <w:tcPr>
        <w:tcBorders>
          <w:top w:val="single" w:sz="18" w:space="0" w:color="477BCB"/>
        </w:tcBorders>
      </w:tcPr>
    </w:tblStylePr>
    <w:tblStylePr w:type="firstCol">
      <w:rPr>
        <w:b/>
        <w:bCs/>
      </w:rPr>
    </w:tblStylePr>
    <w:tblStylePr w:type="lastCol">
      <w:rPr>
        <w:b/>
        <w:bCs/>
      </w:rPr>
    </w:tblStylePr>
    <w:tblStylePr w:type="band1Vert">
      <w:tblPr/>
      <w:tcPr>
        <w:shd w:val="clear" w:color="auto" w:fill="85A7DD"/>
      </w:tcPr>
    </w:tblStylePr>
    <w:tblStylePr w:type="band1Horz">
      <w:tblPr/>
      <w:tcPr>
        <w:shd w:val="clear" w:color="auto" w:fill="85A7DD"/>
      </w:tcPr>
    </w:tblStylePr>
  </w:style>
  <w:style w:type="table" w:styleId="redniasiatka1akcent6">
    <w:name w:val="Medium Grid 1 Accent 6"/>
    <w:basedOn w:val="Standardowy"/>
    <w:uiPriority w:val="67"/>
    <w:semiHidden/>
    <w:unhideWhenUsed/>
    <w:rsid w:val="00C7062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insideV w:val="single" w:sz="8" w:space="0" w:color="93C571"/>
      </w:tblBorders>
    </w:tblPr>
    <w:tcPr>
      <w:shd w:val="clear" w:color="auto" w:fill="DBEBD0"/>
    </w:tcPr>
    <w:tblStylePr w:type="firstRow">
      <w:rPr>
        <w:b/>
        <w:bCs/>
      </w:rPr>
    </w:tblStylePr>
    <w:tblStylePr w:type="lastRow">
      <w:rPr>
        <w:b/>
        <w:bCs/>
      </w:rPr>
      <w:tblPr/>
      <w:tcPr>
        <w:tcBorders>
          <w:top w:val="single" w:sz="18" w:space="0" w:color="93C571"/>
        </w:tcBorders>
      </w:tcPr>
    </w:tblStylePr>
    <w:tblStylePr w:type="firstCol">
      <w:rPr>
        <w:b/>
        <w:bCs/>
      </w:rPr>
    </w:tblStylePr>
    <w:tblStylePr w:type="lastCol">
      <w:rPr>
        <w:b/>
        <w:bCs/>
      </w:rPr>
    </w:tblStylePr>
    <w:tblStylePr w:type="band1Vert">
      <w:tblPr/>
      <w:tcPr>
        <w:shd w:val="clear" w:color="auto" w:fill="B7D8A0"/>
      </w:tcPr>
    </w:tblStylePr>
    <w:tblStylePr w:type="band1Horz">
      <w:tblPr/>
      <w:tcPr>
        <w:shd w:val="clear" w:color="auto" w:fill="B7D8A0"/>
      </w:tcPr>
    </w:tblStylePr>
  </w:style>
  <w:style w:type="table" w:styleId="redniasiatka2">
    <w:name w:val="Medium Grid 2"/>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redniasiatka2akcent1">
    <w:name w:val="Medium Grid 2 Accent 1"/>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rPr>
        <w:b/>
        <w:bCs/>
        <w:color w:val="000000"/>
      </w:rPr>
      <w:tblPr/>
      <w:tcPr>
        <w:shd w:val="clear" w:color="auto" w:fill="EEF5FB"/>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styleId="redniasiatka2akcent2">
    <w:name w:val="Medium Grid 2 Accent 2"/>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FF0000"/>
        <w:left w:val="single" w:sz="8" w:space="0" w:color="FF0000"/>
        <w:bottom w:val="single" w:sz="8" w:space="0" w:color="FF0000"/>
        <w:right w:val="single" w:sz="8" w:space="0" w:color="FF0000"/>
        <w:insideH w:val="single" w:sz="8" w:space="0" w:color="FF0000"/>
        <w:insideV w:val="single" w:sz="8" w:space="0" w:color="FF0000"/>
      </w:tblBorders>
    </w:tblPr>
    <w:tcPr>
      <w:shd w:val="clear" w:color="auto" w:fill="FFC0C0"/>
    </w:tcPr>
    <w:tblStylePr w:type="firstRow">
      <w:rPr>
        <w:b/>
        <w:bCs/>
        <w:color w:val="000000"/>
      </w:rPr>
      <w:tblPr/>
      <w:tcPr>
        <w:shd w:val="clear" w:color="auto" w:fill="FF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CCCC"/>
      </w:tcPr>
    </w:tblStylePr>
    <w:tblStylePr w:type="band1Vert">
      <w:tblPr/>
      <w:tcPr>
        <w:shd w:val="clear" w:color="auto" w:fill="FF8080"/>
      </w:tcPr>
    </w:tblStylePr>
    <w:tblStylePr w:type="band1Horz">
      <w:tblPr/>
      <w:tcPr>
        <w:tcBorders>
          <w:insideH w:val="single" w:sz="6" w:space="0" w:color="FF0000"/>
          <w:insideV w:val="single" w:sz="6" w:space="0" w:color="FF0000"/>
        </w:tcBorders>
        <w:shd w:val="clear" w:color="auto" w:fill="FF8080"/>
      </w:tcPr>
    </w:tblStylePr>
    <w:tblStylePr w:type="nwCell">
      <w:tblPr/>
      <w:tcPr>
        <w:shd w:val="clear" w:color="auto" w:fill="FFFFFF"/>
      </w:tcPr>
    </w:tblStylePr>
  </w:style>
  <w:style w:type="table" w:styleId="redniasiatka2akcent3">
    <w:name w:val="Medium Grid 2 Accent 3"/>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A5A5A5"/>
        <w:left w:val="single" w:sz="8" w:space="0" w:color="A5A5A5"/>
        <w:bottom w:val="single" w:sz="8" w:space="0" w:color="A5A5A5"/>
        <w:right w:val="single" w:sz="8" w:space="0" w:color="A5A5A5"/>
        <w:insideH w:val="single" w:sz="8" w:space="0" w:color="A5A5A5"/>
        <w:insideV w:val="single" w:sz="8" w:space="0" w:color="A5A5A5"/>
      </w:tblBorders>
    </w:tblPr>
    <w:tcPr>
      <w:shd w:val="clear" w:color="auto" w:fill="E8E8E8"/>
    </w:tcPr>
    <w:tblStylePr w:type="firstRow">
      <w:rPr>
        <w:b/>
        <w:bCs/>
        <w:color w:val="000000"/>
      </w:rPr>
      <w:tblPr/>
      <w:tcPr>
        <w:shd w:val="clear" w:color="auto" w:fill="F6F6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DEDED"/>
      </w:tcPr>
    </w:tblStylePr>
    <w:tblStylePr w:type="band1Vert">
      <w:tblPr/>
      <w:tcPr>
        <w:shd w:val="clear" w:color="auto" w:fill="D2D2D2"/>
      </w:tcPr>
    </w:tblStylePr>
    <w:tblStylePr w:type="band1Horz">
      <w:tblPr/>
      <w:tcPr>
        <w:tcBorders>
          <w:insideH w:val="single" w:sz="6" w:space="0" w:color="A5A5A5"/>
          <w:insideV w:val="single" w:sz="6" w:space="0" w:color="A5A5A5"/>
        </w:tcBorders>
        <w:shd w:val="clear" w:color="auto" w:fill="D2D2D2"/>
      </w:tcPr>
    </w:tblStylePr>
    <w:tblStylePr w:type="nwCell">
      <w:tblPr/>
      <w:tcPr>
        <w:shd w:val="clear" w:color="auto" w:fill="FFFFFF"/>
      </w:tcPr>
    </w:tblStylePr>
  </w:style>
  <w:style w:type="table" w:styleId="redniasiatka2akcent4">
    <w:name w:val="Medium Grid 2 Accent 4"/>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cPr>
      <w:shd w:val="clear" w:color="auto" w:fill="FFEFC0"/>
    </w:tcPr>
    <w:tblStylePr w:type="firstRow">
      <w:rPr>
        <w:b/>
        <w:bCs/>
        <w:color w:val="000000"/>
      </w:rPr>
      <w:tblPr/>
      <w:tcPr>
        <w:shd w:val="clear" w:color="auto" w:fill="FFF8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FF2CC"/>
      </w:tcPr>
    </w:tblStylePr>
    <w:tblStylePr w:type="band1Vert">
      <w:tblPr/>
      <w:tcPr>
        <w:shd w:val="clear" w:color="auto" w:fill="FFDF80"/>
      </w:tcPr>
    </w:tblStylePr>
    <w:tblStylePr w:type="band1Horz">
      <w:tblPr/>
      <w:tcPr>
        <w:tcBorders>
          <w:insideH w:val="single" w:sz="6" w:space="0" w:color="FFC000"/>
          <w:insideV w:val="single" w:sz="6" w:space="0" w:color="FFC000"/>
        </w:tcBorders>
        <w:shd w:val="clear" w:color="auto" w:fill="FFDF80"/>
      </w:tcPr>
    </w:tblStylePr>
    <w:tblStylePr w:type="nwCell">
      <w:tblPr/>
      <w:tcPr>
        <w:shd w:val="clear" w:color="auto" w:fill="FFFFFF"/>
      </w:tcPr>
    </w:tblStylePr>
  </w:style>
  <w:style w:type="table" w:styleId="redniasiatka2akcent5">
    <w:name w:val="Medium Grid 2 Accent 5"/>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2B579A"/>
        <w:left w:val="single" w:sz="8" w:space="0" w:color="2B579A"/>
        <w:bottom w:val="single" w:sz="8" w:space="0" w:color="2B579A"/>
        <w:right w:val="single" w:sz="8" w:space="0" w:color="2B579A"/>
        <w:insideH w:val="single" w:sz="8" w:space="0" w:color="2B579A"/>
        <w:insideV w:val="single" w:sz="8" w:space="0" w:color="2B579A"/>
      </w:tblBorders>
    </w:tblPr>
    <w:tcPr>
      <w:shd w:val="clear" w:color="auto" w:fill="C2D3EE"/>
    </w:tcPr>
    <w:tblStylePr w:type="firstRow">
      <w:rPr>
        <w:b/>
        <w:bCs/>
        <w:color w:val="000000"/>
      </w:rPr>
      <w:tblPr/>
      <w:tcPr>
        <w:shd w:val="clear" w:color="auto" w:fill="E6ED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EDBF1"/>
      </w:tcPr>
    </w:tblStylePr>
    <w:tblStylePr w:type="band1Vert">
      <w:tblPr/>
      <w:tcPr>
        <w:shd w:val="clear" w:color="auto" w:fill="85A7DD"/>
      </w:tcPr>
    </w:tblStylePr>
    <w:tblStylePr w:type="band1Horz">
      <w:tblPr/>
      <w:tcPr>
        <w:tcBorders>
          <w:insideH w:val="single" w:sz="6" w:space="0" w:color="2B579A"/>
          <w:insideV w:val="single" w:sz="6" w:space="0" w:color="2B579A"/>
        </w:tcBorders>
        <w:shd w:val="clear" w:color="auto" w:fill="85A7DD"/>
      </w:tcPr>
    </w:tblStylePr>
    <w:tblStylePr w:type="nwCell">
      <w:tblPr/>
      <w:tcPr>
        <w:shd w:val="clear" w:color="auto" w:fill="FFFFFF"/>
      </w:tcPr>
    </w:tblStylePr>
  </w:style>
  <w:style w:type="table" w:styleId="redniasiatka2akcent6">
    <w:name w:val="Medium Grid 2 Accent 6"/>
    <w:basedOn w:val="Standardowy"/>
    <w:uiPriority w:val="68"/>
    <w:semiHidden/>
    <w:unhideWhenUsed/>
    <w:rsid w:val="00C70628"/>
    <w:rPr>
      <w:rFonts w:ascii="Segoe UI Light" w:eastAsia="MS Gothic" w:hAnsi="Segoe UI Light" w:cs="Segoe UI Light"/>
      <w:color w:val="000000"/>
    </w:rPr>
    <w:tblPr>
      <w:tblStyleRowBandSize w:val="1"/>
      <w:tblStyleColBandSize w:val="1"/>
      <w:tblBorders>
        <w:top w:val="single" w:sz="8" w:space="0" w:color="70AD47"/>
        <w:left w:val="single" w:sz="8" w:space="0" w:color="70AD47"/>
        <w:bottom w:val="single" w:sz="8" w:space="0" w:color="70AD47"/>
        <w:right w:val="single" w:sz="8" w:space="0" w:color="70AD47"/>
        <w:insideH w:val="single" w:sz="8" w:space="0" w:color="70AD47"/>
        <w:insideV w:val="single" w:sz="8" w:space="0" w:color="70AD47"/>
      </w:tblBorders>
    </w:tblPr>
    <w:tcPr>
      <w:shd w:val="clear" w:color="auto" w:fill="DBEBD0"/>
    </w:tcPr>
    <w:tblStylePr w:type="firstRow">
      <w:rPr>
        <w:b/>
        <w:bCs/>
        <w:color w:val="000000"/>
      </w:rPr>
      <w:tblPr/>
      <w:tcPr>
        <w:shd w:val="clear" w:color="auto" w:fill="F0F7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2EFD9"/>
      </w:tcPr>
    </w:tblStylePr>
    <w:tblStylePr w:type="band1Vert">
      <w:tblPr/>
      <w:tcPr>
        <w:shd w:val="clear" w:color="auto" w:fill="B7D8A0"/>
      </w:tcPr>
    </w:tblStylePr>
    <w:tblStylePr w:type="band1Horz">
      <w:tblPr/>
      <w:tcPr>
        <w:tcBorders>
          <w:insideH w:val="single" w:sz="6" w:space="0" w:color="70AD47"/>
          <w:insideV w:val="single" w:sz="6" w:space="0" w:color="70AD47"/>
        </w:tcBorders>
        <w:shd w:val="clear" w:color="auto" w:fill="B7D8A0"/>
      </w:tcPr>
    </w:tblStylePr>
    <w:tblStylePr w:type="nwCell">
      <w:tblPr/>
      <w:tcPr>
        <w:shd w:val="clear" w:color="auto" w:fill="FFFFFF"/>
      </w:tcPr>
    </w:tblStylePr>
  </w:style>
  <w:style w:type="table" w:styleId="redniasiatka3">
    <w:name w:val="Medium Grid 3"/>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redniasiatka3akcent1">
    <w:name w:val="Medium Grid 3 Accent 1"/>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6E6F4"/>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5B9BD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5B9BD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5B9BD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5B9BD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DCCEA"/>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DCCEA"/>
      </w:tcPr>
    </w:tblStylePr>
  </w:style>
  <w:style w:type="table" w:styleId="redniasiatka3akcent2">
    <w:name w:val="Medium Grid 3 Accent 2"/>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8080"/>
      </w:tcPr>
    </w:tblStylePr>
  </w:style>
  <w:style w:type="table" w:styleId="redniasiatka3akcent3">
    <w:name w:val="Medium Grid 3 Accent 3"/>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8E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A5A5A5"/>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A5A5A5"/>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A5A5A5"/>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A5A5A5"/>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2D2D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2D2D2"/>
      </w:tcPr>
    </w:tblStylePr>
  </w:style>
  <w:style w:type="table" w:styleId="redniasiatka3akcent4">
    <w:name w:val="Medium Grid 3 Accent 4"/>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FEF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FC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FC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FC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FC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FDF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FDF80"/>
      </w:tcPr>
    </w:tblStylePr>
  </w:style>
  <w:style w:type="table" w:styleId="redniasiatka3akcent5">
    <w:name w:val="Medium Grid 3 Accent 5"/>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2D3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2B579A"/>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2B579A"/>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2B579A"/>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2B579A"/>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5A7DD"/>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5A7DD"/>
      </w:tcPr>
    </w:tblStylePr>
  </w:style>
  <w:style w:type="table" w:styleId="redniasiatka3akcent6">
    <w:name w:val="Medium Grid 3 Accent 6"/>
    <w:basedOn w:val="Standardowy"/>
    <w:uiPriority w:val="69"/>
    <w:semiHidden/>
    <w:unhideWhenUsed/>
    <w:rsid w:val="00C706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BEB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70AD47"/>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70AD47"/>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70AD47"/>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70AD47"/>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7D8A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7D8A0"/>
      </w:tcPr>
    </w:tblStylePr>
  </w:style>
  <w:style w:type="table" w:styleId="rednialista1">
    <w:name w:val="Medium List 1"/>
    <w:basedOn w:val="Standardowy"/>
    <w:uiPriority w:val="65"/>
    <w:semiHidden/>
    <w:unhideWhenUsed/>
    <w:rsid w:val="00C70628"/>
    <w:rPr>
      <w:color w:val="000000"/>
    </w:rPr>
    <w:tblPr>
      <w:tblStyleRowBandSize w:val="1"/>
      <w:tblStyleColBandSize w:val="1"/>
      <w:tblBorders>
        <w:top w:val="single" w:sz="8" w:space="0" w:color="000000"/>
        <w:bottom w:val="single" w:sz="8" w:space="0" w:color="000000"/>
      </w:tblBorders>
    </w:tblPr>
    <w:tblStylePr w:type="firstRow">
      <w:rPr>
        <w:rFonts w:ascii="Segoe UI Light" w:eastAsia="MS Gothic" w:hAnsi="Segoe UI Light" w:cs="Times New Roman"/>
      </w:rPr>
      <w:tblPr/>
      <w:tcPr>
        <w:tcBorders>
          <w:top w:val="nil"/>
          <w:bottom w:val="single" w:sz="8" w:space="0" w:color="000000"/>
        </w:tcBorders>
      </w:tcPr>
    </w:tblStylePr>
    <w:tblStylePr w:type="lastRow">
      <w:rPr>
        <w:b/>
        <w:bCs/>
        <w:color w:val="44546A"/>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rednialista1akcent1">
    <w:name w:val="Medium List 1 Accent 1"/>
    <w:basedOn w:val="Standardowy"/>
    <w:uiPriority w:val="65"/>
    <w:semiHidden/>
    <w:unhideWhenUsed/>
    <w:rsid w:val="00C70628"/>
    <w:rPr>
      <w:color w:val="000000"/>
    </w:rPr>
    <w:tblPr>
      <w:tblStyleRowBandSize w:val="1"/>
      <w:tblStyleColBandSize w:val="1"/>
      <w:tblBorders>
        <w:top w:val="single" w:sz="8" w:space="0" w:color="5B9BD5"/>
        <w:bottom w:val="single" w:sz="8" w:space="0" w:color="5B9BD5"/>
      </w:tblBorders>
    </w:tblPr>
    <w:tblStylePr w:type="firstRow">
      <w:rPr>
        <w:rFonts w:ascii="Segoe UI Light" w:eastAsia="MS Gothic" w:hAnsi="Segoe UI Light" w:cs="Times New Roman"/>
      </w:rPr>
      <w:tblPr/>
      <w:tcPr>
        <w:tcBorders>
          <w:top w:val="nil"/>
          <w:bottom w:val="single" w:sz="8" w:space="0" w:color="5B9BD5"/>
        </w:tcBorders>
      </w:tcPr>
    </w:tblStylePr>
    <w:tblStylePr w:type="lastRow">
      <w:rPr>
        <w:b/>
        <w:bCs/>
        <w:color w:val="44546A"/>
      </w:rPr>
      <w:tblPr/>
      <w:tcPr>
        <w:tcBorders>
          <w:top w:val="single" w:sz="8" w:space="0" w:color="5B9BD5"/>
          <w:bottom w:val="single" w:sz="8" w:space="0" w:color="5B9BD5"/>
        </w:tcBorders>
      </w:tcPr>
    </w:tblStylePr>
    <w:tblStylePr w:type="firstCol">
      <w:rPr>
        <w:b/>
        <w:bCs/>
      </w:rPr>
    </w:tblStylePr>
    <w:tblStylePr w:type="lastCol">
      <w:rPr>
        <w:b/>
        <w:bCs/>
      </w:rPr>
      <w:tblPr/>
      <w:tcPr>
        <w:tcBorders>
          <w:top w:val="single" w:sz="8" w:space="0" w:color="5B9BD5"/>
          <w:bottom w:val="single" w:sz="8" w:space="0" w:color="5B9BD5"/>
        </w:tcBorders>
      </w:tcPr>
    </w:tblStylePr>
    <w:tblStylePr w:type="band1Vert">
      <w:tblPr/>
      <w:tcPr>
        <w:shd w:val="clear" w:color="auto" w:fill="D6E6F4"/>
      </w:tcPr>
    </w:tblStylePr>
    <w:tblStylePr w:type="band1Horz">
      <w:tblPr/>
      <w:tcPr>
        <w:shd w:val="clear" w:color="auto" w:fill="D6E6F4"/>
      </w:tcPr>
    </w:tblStylePr>
  </w:style>
  <w:style w:type="table" w:styleId="rednialista1akcent2">
    <w:name w:val="Medium List 1 Accent 2"/>
    <w:basedOn w:val="Standardowy"/>
    <w:uiPriority w:val="65"/>
    <w:semiHidden/>
    <w:unhideWhenUsed/>
    <w:rsid w:val="00C70628"/>
    <w:rPr>
      <w:color w:val="000000"/>
    </w:rPr>
    <w:tblPr>
      <w:tblStyleRowBandSize w:val="1"/>
      <w:tblStyleColBandSize w:val="1"/>
      <w:tblBorders>
        <w:top w:val="single" w:sz="8" w:space="0" w:color="FF0000"/>
        <w:bottom w:val="single" w:sz="8" w:space="0" w:color="FF0000"/>
      </w:tblBorders>
    </w:tblPr>
    <w:tblStylePr w:type="firstRow">
      <w:rPr>
        <w:rFonts w:ascii="Segoe UI Light" w:eastAsia="MS Gothic" w:hAnsi="Segoe UI Light" w:cs="Times New Roman"/>
      </w:rPr>
      <w:tblPr/>
      <w:tcPr>
        <w:tcBorders>
          <w:top w:val="nil"/>
          <w:bottom w:val="single" w:sz="8" w:space="0" w:color="FF0000"/>
        </w:tcBorders>
      </w:tcPr>
    </w:tblStylePr>
    <w:tblStylePr w:type="lastRow">
      <w:rPr>
        <w:b/>
        <w:bCs/>
        <w:color w:val="44546A"/>
      </w:rPr>
      <w:tblPr/>
      <w:tcPr>
        <w:tcBorders>
          <w:top w:val="single" w:sz="8" w:space="0" w:color="FF0000"/>
          <w:bottom w:val="single" w:sz="8" w:space="0" w:color="FF0000"/>
        </w:tcBorders>
      </w:tcPr>
    </w:tblStylePr>
    <w:tblStylePr w:type="firstCol">
      <w:rPr>
        <w:b/>
        <w:bCs/>
      </w:rPr>
    </w:tblStylePr>
    <w:tblStylePr w:type="lastCol">
      <w:rPr>
        <w:b/>
        <w:bCs/>
      </w:rPr>
      <w:tblPr/>
      <w:tcPr>
        <w:tcBorders>
          <w:top w:val="single" w:sz="8" w:space="0" w:color="FF0000"/>
          <w:bottom w:val="single" w:sz="8" w:space="0" w:color="FF0000"/>
        </w:tcBorders>
      </w:tcPr>
    </w:tblStylePr>
    <w:tblStylePr w:type="band1Vert">
      <w:tblPr/>
      <w:tcPr>
        <w:shd w:val="clear" w:color="auto" w:fill="FFC0C0"/>
      </w:tcPr>
    </w:tblStylePr>
    <w:tblStylePr w:type="band1Horz">
      <w:tblPr/>
      <w:tcPr>
        <w:shd w:val="clear" w:color="auto" w:fill="FFC0C0"/>
      </w:tcPr>
    </w:tblStylePr>
  </w:style>
  <w:style w:type="table" w:styleId="rednialista1akcent3">
    <w:name w:val="Medium List 1 Accent 3"/>
    <w:basedOn w:val="Standardowy"/>
    <w:uiPriority w:val="65"/>
    <w:semiHidden/>
    <w:unhideWhenUsed/>
    <w:rsid w:val="00C70628"/>
    <w:rPr>
      <w:color w:val="000000"/>
    </w:rPr>
    <w:tblPr>
      <w:tblStyleRowBandSize w:val="1"/>
      <w:tblStyleColBandSize w:val="1"/>
      <w:tblBorders>
        <w:top w:val="single" w:sz="8" w:space="0" w:color="A5A5A5"/>
        <w:bottom w:val="single" w:sz="8" w:space="0" w:color="A5A5A5"/>
      </w:tblBorders>
    </w:tblPr>
    <w:tblStylePr w:type="firstRow">
      <w:rPr>
        <w:rFonts w:ascii="Segoe UI Light" w:eastAsia="MS Gothic" w:hAnsi="Segoe UI Light" w:cs="Times New Roman"/>
      </w:rPr>
      <w:tblPr/>
      <w:tcPr>
        <w:tcBorders>
          <w:top w:val="nil"/>
          <w:bottom w:val="single" w:sz="8" w:space="0" w:color="A5A5A5"/>
        </w:tcBorders>
      </w:tcPr>
    </w:tblStylePr>
    <w:tblStylePr w:type="lastRow">
      <w:rPr>
        <w:b/>
        <w:bCs/>
        <w:color w:val="44546A"/>
      </w:rPr>
      <w:tblPr/>
      <w:tcPr>
        <w:tcBorders>
          <w:top w:val="single" w:sz="8" w:space="0" w:color="A5A5A5"/>
          <w:bottom w:val="single" w:sz="8" w:space="0" w:color="A5A5A5"/>
        </w:tcBorders>
      </w:tcPr>
    </w:tblStylePr>
    <w:tblStylePr w:type="firstCol">
      <w:rPr>
        <w:b/>
        <w:bCs/>
      </w:rPr>
    </w:tblStylePr>
    <w:tblStylePr w:type="lastCol">
      <w:rPr>
        <w:b/>
        <w:bCs/>
      </w:rPr>
      <w:tblPr/>
      <w:tcPr>
        <w:tcBorders>
          <w:top w:val="single" w:sz="8" w:space="0" w:color="A5A5A5"/>
          <w:bottom w:val="single" w:sz="8" w:space="0" w:color="A5A5A5"/>
        </w:tcBorders>
      </w:tcPr>
    </w:tblStylePr>
    <w:tblStylePr w:type="band1Vert">
      <w:tblPr/>
      <w:tcPr>
        <w:shd w:val="clear" w:color="auto" w:fill="E8E8E8"/>
      </w:tcPr>
    </w:tblStylePr>
    <w:tblStylePr w:type="band1Horz">
      <w:tblPr/>
      <w:tcPr>
        <w:shd w:val="clear" w:color="auto" w:fill="E8E8E8"/>
      </w:tcPr>
    </w:tblStylePr>
  </w:style>
  <w:style w:type="table" w:styleId="rednialista1akcent4">
    <w:name w:val="Medium List 1 Accent 4"/>
    <w:basedOn w:val="Standardowy"/>
    <w:uiPriority w:val="65"/>
    <w:semiHidden/>
    <w:unhideWhenUsed/>
    <w:rsid w:val="00C70628"/>
    <w:rPr>
      <w:color w:val="000000"/>
    </w:rPr>
    <w:tblPr>
      <w:tblStyleRowBandSize w:val="1"/>
      <w:tblStyleColBandSize w:val="1"/>
      <w:tblBorders>
        <w:top w:val="single" w:sz="8" w:space="0" w:color="FFC000"/>
        <w:bottom w:val="single" w:sz="8" w:space="0" w:color="FFC000"/>
      </w:tblBorders>
    </w:tblPr>
    <w:tblStylePr w:type="firstRow">
      <w:rPr>
        <w:rFonts w:ascii="Segoe UI Light" w:eastAsia="MS Gothic" w:hAnsi="Segoe UI Light" w:cs="Times New Roman"/>
      </w:rPr>
      <w:tblPr/>
      <w:tcPr>
        <w:tcBorders>
          <w:top w:val="nil"/>
          <w:bottom w:val="single" w:sz="8" w:space="0" w:color="FFC000"/>
        </w:tcBorders>
      </w:tcPr>
    </w:tblStylePr>
    <w:tblStylePr w:type="lastRow">
      <w:rPr>
        <w:b/>
        <w:bCs/>
        <w:color w:val="44546A"/>
      </w:rPr>
      <w:tblPr/>
      <w:tcPr>
        <w:tcBorders>
          <w:top w:val="single" w:sz="8" w:space="0" w:color="FFC000"/>
          <w:bottom w:val="single" w:sz="8" w:space="0" w:color="FFC000"/>
        </w:tcBorders>
      </w:tcPr>
    </w:tblStylePr>
    <w:tblStylePr w:type="firstCol">
      <w:rPr>
        <w:b/>
        <w:bCs/>
      </w:rPr>
    </w:tblStylePr>
    <w:tblStylePr w:type="lastCol">
      <w:rPr>
        <w:b/>
        <w:bCs/>
      </w:rPr>
      <w:tblPr/>
      <w:tcPr>
        <w:tcBorders>
          <w:top w:val="single" w:sz="8" w:space="0" w:color="FFC000"/>
          <w:bottom w:val="single" w:sz="8" w:space="0" w:color="FFC000"/>
        </w:tcBorders>
      </w:tcPr>
    </w:tblStylePr>
    <w:tblStylePr w:type="band1Vert">
      <w:tblPr/>
      <w:tcPr>
        <w:shd w:val="clear" w:color="auto" w:fill="FFEFC0"/>
      </w:tcPr>
    </w:tblStylePr>
    <w:tblStylePr w:type="band1Horz">
      <w:tblPr/>
      <w:tcPr>
        <w:shd w:val="clear" w:color="auto" w:fill="FFEFC0"/>
      </w:tcPr>
    </w:tblStylePr>
  </w:style>
  <w:style w:type="table" w:styleId="rednialista1akcent5">
    <w:name w:val="Medium List 1 Accent 5"/>
    <w:basedOn w:val="Standardowy"/>
    <w:uiPriority w:val="65"/>
    <w:semiHidden/>
    <w:unhideWhenUsed/>
    <w:rsid w:val="00C70628"/>
    <w:rPr>
      <w:color w:val="000000"/>
    </w:rPr>
    <w:tblPr>
      <w:tblStyleRowBandSize w:val="1"/>
      <w:tblStyleColBandSize w:val="1"/>
      <w:tblBorders>
        <w:top w:val="single" w:sz="8" w:space="0" w:color="2B579A"/>
        <w:bottom w:val="single" w:sz="8" w:space="0" w:color="2B579A"/>
      </w:tblBorders>
    </w:tblPr>
    <w:tblStylePr w:type="firstRow">
      <w:rPr>
        <w:rFonts w:ascii="Segoe UI Light" w:eastAsia="MS Gothic" w:hAnsi="Segoe UI Light" w:cs="Times New Roman"/>
      </w:rPr>
      <w:tblPr/>
      <w:tcPr>
        <w:tcBorders>
          <w:top w:val="nil"/>
          <w:bottom w:val="single" w:sz="8" w:space="0" w:color="2B579A"/>
        </w:tcBorders>
      </w:tcPr>
    </w:tblStylePr>
    <w:tblStylePr w:type="lastRow">
      <w:rPr>
        <w:b/>
        <w:bCs/>
        <w:color w:val="44546A"/>
      </w:rPr>
      <w:tblPr/>
      <w:tcPr>
        <w:tcBorders>
          <w:top w:val="single" w:sz="8" w:space="0" w:color="2B579A"/>
          <w:bottom w:val="single" w:sz="8" w:space="0" w:color="2B579A"/>
        </w:tcBorders>
      </w:tcPr>
    </w:tblStylePr>
    <w:tblStylePr w:type="firstCol">
      <w:rPr>
        <w:b/>
        <w:bCs/>
      </w:rPr>
    </w:tblStylePr>
    <w:tblStylePr w:type="lastCol">
      <w:rPr>
        <w:b/>
        <w:bCs/>
      </w:rPr>
      <w:tblPr/>
      <w:tcPr>
        <w:tcBorders>
          <w:top w:val="single" w:sz="8" w:space="0" w:color="2B579A"/>
          <w:bottom w:val="single" w:sz="8" w:space="0" w:color="2B579A"/>
        </w:tcBorders>
      </w:tcPr>
    </w:tblStylePr>
    <w:tblStylePr w:type="band1Vert">
      <w:tblPr/>
      <w:tcPr>
        <w:shd w:val="clear" w:color="auto" w:fill="C2D3EE"/>
      </w:tcPr>
    </w:tblStylePr>
    <w:tblStylePr w:type="band1Horz">
      <w:tblPr/>
      <w:tcPr>
        <w:shd w:val="clear" w:color="auto" w:fill="C2D3EE"/>
      </w:tcPr>
    </w:tblStylePr>
  </w:style>
  <w:style w:type="table" w:styleId="rednialista1akcent6">
    <w:name w:val="Medium List 1 Accent 6"/>
    <w:basedOn w:val="Standardowy"/>
    <w:uiPriority w:val="65"/>
    <w:semiHidden/>
    <w:unhideWhenUsed/>
    <w:rsid w:val="00C70628"/>
    <w:rPr>
      <w:color w:val="000000"/>
    </w:rPr>
    <w:tblPr>
      <w:tblStyleRowBandSize w:val="1"/>
      <w:tblStyleColBandSize w:val="1"/>
      <w:tblBorders>
        <w:top w:val="single" w:sz="8" w:space="0" w:color="70AD47"/>
        <w:bottom w:val="single" w:sz="8" w:space="0" w:color="70AD47"/>
      </w:tblBorders>
    </w:tblPr>
    <w:tblStylePr w:type="firstRow">
      <w:rPr>
        <w:rFonts w:ascii="Segoe UI Light" w:eastAsia="MS Gothic" w:hAnsi="Segoe UI Light" w:cs="Times New Roman"/>
      </w:rPr>
      <w:tblPr/>
      <w:tcPr>
        <w:tcBorders>
          <w:top w:val="nil"/>
          <w:bottom w:val="single" w:sz="8" w:space="0" w:color="70AD47"/>
        </w:tcBorders>
      </w:tcPr>
    </w:tblStylePr>
    <w:tblStylePr w:type="lastRow">
      <w:rPr>
        <w:b/>
        <w:bCs/>
        <w:color w:val="44546A"/>
      </w:rPr>
      <w:tblPr/>
      <w:tcPr>
        <w:tcBorders>
          <w:top w:val="single" w:sz="8" w:space="0" w:color="70AD47"/>
          <w:bottom w:val="single" w:sz="8" w:space="0" w:color="70AD47"/>
        </w:tcBorders>
      </w:tcPr>
    </w:tblStylePr>
    <w:tblStylePr w:type="firstCol">
      <w:rPr>
        <w:b/>
        <w:bCs/>
      </w:rPr>
    </w:tblStylePr>
    <w:tblStylePr w:type="lastCol">
      <w:rPr>
        <w:b/>
        <w:bCs/>
      </w:rPr>
      <w:tblPr/>
      <w:tcPr>
        <w:tcBorders>
          <w:top w:val="single" w:sz="8" w:space="0" w:color="70AD47"/>
          <w:bottom w:val="single" w:sz="8" w:space="0" w:color="70AD47"/>
        </w:tcBorders>
      </w:tcPr>
    </w:tblStylePr>
    <w:tblStylePr w:type="band1Vert">
      <w:tblPr/>
      <w:tcPr>
        <w:shd w:val="clear" w:color="auto" w:fill="DBEBD0"/>
      </w:tcPr>
    </w:tblStylePr>
    <w:tblStylePr w:type="band1Horz">
      <w:tblPr/>
      <w:tcPr>
        <w:shd w:val="clear" w:color="auto" w:fill="DBEBD0"/>
      </w:tcPr>
    </w:tblStylePr>
  </w:style>
  <w:style w:type="table" w:styleId="rednialista2">
    <w:name w:val="Medium List 2"/>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rednialista2akcent1">
    <w:name w:val="Medium List 2 Accent 1"/>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rPr>
        <w:sz w:val="24"/>
        <w:szCs w:val="24"/>
      </w:rPr>
      <w:tblPr/>
      <w:tcPr>
        <w:tcBorders>
          <w:top w:val="nil"/>
          <w:left w:val="nil"/>
          <w:bottom w:val="single" w:sz="24" w:space="0" w:color="5B9BD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5B9BD5"/>
          <w:insideH w:val="nil"/>
          <w:insideV w:val="nil"/>
        </w:tcBorders>
        <w:shd w:val="clear" w:color="auto" w:fill="FFFFFF"/>
      </w:tcPr>
    </w:tblStylePr>
    <w:tblStylePr w:type="lastCol">
      <w:tblPr/>
      <w:tcPr>
        <w:tcBorders>
          <w:top w:val="nil"/>
          <w:left w:val="single" w:sz="8" w:space="0" w:color="5B9BD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6E6F4"/>
      </w:tcPr>
    </w:tblStylePr>
    <w:tblStylePr w:type="band1Horz">
      <w:tblPr/>
      <w:tcPr>
        <w:tcBorders>
          <w:top w:val="nil"/>
          <w:bottom w:val="nil"/>
          <w:insideH w:val="nil"/>
          <w:insideV w:val="nil"/>
        </w:tcBorders>
        <w:shd w:val="clear" w:color="auto" w:fill="D6E6F4"/>
      </w:tcPr>
    </w:tblStylePr>
    <w:tblStylePr w:type="nwCell">
      <w:tblPr/>
      <w:tcPr>
        <w:shd w:val="clear" w:color="auto" w:fill="FFFFFF"/>
      </w:tcPr>
    </w:tblStylePr>
    <w:tblStylePr w:type="swCell">
      <w:tblPr/>
      <w:tcPr>
        <w:tcBorders>
          <w:top w:val="nil"/>
        </w:tcBorders>
      </w:tcPr>
    </w:tblStylePr>
  </w:style>
  <w:style w:type="table" w:styleId="rednialista2akcent2">
    <w:name w:val="Medium List 2 Accent 2"/>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FF0000"/>
        <w:left w:val="single" w:sz="8" w:space="0" w:color="FF0000"/>
        <w:bottom w:val="single" w:sz="8" w:space="0" w:color="FF0000"/>
        <w:right w:val="single" w:sz="8" w:space="0" w:color="FF0000"/>
      </w:tblBorders>
    </w:tblPr>
    <w:tblStylePr w:type="firstRow">
      <w:rPr>
        <w:sz w:val="24"/>
        <w:szCs w:val="24"/>
      </w:rPr>
      <w:tblPr/>
      <w:tcPr>
        <w:tcBorders>
          <w:top w:val="nil"/>
          <w:left w:val="nil"/>
          <w:bottom w:val="single" w:sz="24" w:space="0" w:color="FF0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0000"/>
          <w:insideH w:val="nil"/>
          <w:insideV w:val="nil"/>
        </w:tcBorders>
        <w:shd w:val="clear" w:color="auto" w:fill="FFFFFF"/>
      </w:tcPr>
    </w:tblStylePr>
    <w:tblStylePr w:type="lastCol">
      <w:tblPr/>
      <w:tcPr>
        <w:tcBorders>
          <w:top w:val="nil"/>
          <w:left w:val="single" w:sz="8" w:space="0" w:color="FF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C0C0"/>
      </w:tcPr>
    </w:tblStylePr>
    <w:tblStylePr w:type="band1Horz">
      <w:tblPr/>
      <w:tcPr>
        <w:tcBorders>
          <w:top w:val="nil"/>
          <w:bottom w:val="nil"/>
          <w:insideH w:val="nil"/>
          <w:insideV w:val="nil"/>
        </w:tcBorders>
        <w:shd w:val="clear" w:color="auto" w:fill="FFC0C0"/>
      </w:tcPr>
    </w:tblStylePr>
    <w:tblStylePr w:type="nwCell">
      <w:tblPr/>
      <w:tcPr>
        <w:shd w:val="clear" w:color="auto" w:fill="FFFFFF"/>
      </w:tcPr>
    </w:tblStylePr>
    <w:tblStylePr w:type="swCell">
      <w:tblPr/>
      <w:tcPr>
        <w:tcBorders>
          <w:top w:val="nil"/>
        </w:tcBorders>
      </w:tcPr>
    </w:tblStylePr>
  </w:style>
  <w:style w:type="table" w:styleId="rednialista2akcent3">
    <w:name w:val="Medium List 2 Accent 3"/>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A5A5A5"/>
        <w:left w:val="single" w:sz="8" w:space="0" w:color="A5A5A5"/>
        <w:bottom w:val="single" w:sz="8" w:space="0" w:color="A5A5A5"/>
        <w:right w:val="single" w:sz="8" w:space="0" w:color="A5A5A5"/>
      </w:tblBorders>
    </w:tblPr>
    <w:tblStylePr w:type="firstRow">
      <w:rPr>
        <w:sz w:val="24"/>
        <w:szCs w:val="24"/>
      </w:rPr>
      <w:tblPr/>
      <w:tcPr>
        <w:tcBorders>
          <w:top w:val="nil"/>
          <w:left w:val="nil"/>
          <w:bottom w:val="single" w:sz="24" w:space="0" w:color="A5A5A5"/>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A5A5A5"/>
          <w:insideH w:val="nil"/>
          <w:insideV w:val="nil"/>
        </w:tcBorders>
        <w:shd w:val="clear" w:color="auto" w:fill="FFFFFF"/>
      </w:tcPr>
    </w:tblStylePr>
    <w:tblStylePr w:type="lastCol">
      <w:tblPr/>
      <w:tcPr>
        <w:tcBorders>
          <w:top w:val="nil"/>
          <w:left w:val="single" w:sz="8" w:space="0" w:color="A5A5A5"/>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8E8E8"/>
      </w:tcPr>
    </w:tblStylePr>
    <w:tblStylePr w:type="band1Horz">
      <w:tblPr/>
      <w:tcPr>
        <w:tcBorders>
          <w:top w:val="nil"/>
          <w:bottom w:val="nil"/>
          <w:insideH w:val="nil"/>
          <w:insideV w:val="nil"/>
        </w:tcBorders>
        <w:shd w:val="clear" w:color="auto" w:fill="E8E8E8"/>
      </w:tcPr>
    </w:tblStylePr>
    <w:tblStylePr w:type="nwCell">
      <w:tblPr/>
      <w:tcPr>
        <w:shd w:val="clear" w:color="auto" w:fill="FFFFFF"/>
      </w:tcPr>
    </w:tblStylePr>
    <w:tblStylePr w:type="swCell">
      <w:tblPr/>
      <w:tcPr>
        <w:tcBorders>
          <w:top w:val="nil"/>
        </w:tcBorders>
      </w:tcPr>
    </w:tblStylePr>
  </w:style>
  <w:style w:type="table" w:styleId="rednialista2akcent4">
    <w:name w:val="Medium List 2 Accent 4"/>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FFC000"/>
        <w:left w:val="single" w:sz="8" w:space="0" w:color="FFC000"/>
        <w:bottom w:val="single" w:sz="8" w:space="0" w:color="FFC000"/>
        <w:right w:val="single" w:sz="8" w:space="0" w:color="FFC000"/>
      </w:tblBorders>
    </w:tblPr>
    <w:tblStylePr w:type="firstRow">
      <w:rPr>
        <w:sz w:val="24"/>
        <w:szCs w:val="24"/>
      </w:rPr>
      <w:tblPr/>
      <w:tcPr>
        <w:tcBorders>
          <w:top w:val="nil"/>
          <w:left w:val="nil"/>
          <w:bottom w:val="single" w:sz="24" w:space="0" w:color="FFC000"/>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FFC000"/>
          <w:insideH w:val="nil"/>
          <w:insideV w:val="nil"/>
        </w:tcBorders>
        <w:shd w:val="clear" w:color="auto" w:fill="FFFFFF"/>
      </w:tcPr>
    </w:tblStylePr>
    <w:tblStylePr w:type="lastCol">
      <w:tblPr/>
      <w:tcPr>
        <w:tcBorders>
          <w:top w:val="nil"/>
          <w:left w:val="single" w:sz="8" w:space="0" w:color="FFC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FEFC0"/>
      </w:tcPr>
    </w:tblStylePr>
    <w:tblStylePr w:type="band1Horz">
      <w:tblPr/>
      <w:tcPr>
        <w:tcBorders>
          <w:top w:val="nil"/>
          <w:bottom w:val="nil"/>
          <w:insideH w:val="nil"/>
          <w:insideV w:val="nil"/>
        </w:tcBorders>
        <w:shd w:val="clear" w:color="auto" w:fill="FFEFC0"/>
      </w:tcPr>
    </w:tblStylePr>
    <w:tblStylePr w:type="nwCell">
      <w:tblPr/>
      <w:tcPr>
        <w:shd w:val="clear" w:color="auto" w:fill="FFFFFF"/>
      </w:tcPr>
    </w:tblStylePr>
    <w:tblStylePr w:type="swCell">
      <w:tblPr/>
      <w:tcPr>
        <w:tcBorders>
          <w:top w:val="nil"/>
        </w:tcBorders>
      </w:tcPr>
    </w:tblStylePr>
  </w:style>
  <w:style w:type="table" w:styleId="rednialista2akcent5">
    <w:name w:val="Medium List 2 Accent 5"/>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2B579A"/>
        <w:left w:val="single" w:sz="8" w:space="0" w:color="2B579A"/>
        <w:bottom w:val="single" w:sz="8" w:space="0" w:color="2B579A"/>
        <w:right w:val="single" w:sz="8" w:space="0" w:color="2B579A"/>
      </w:tblBorders>
    </w:tblPr>
    <w:tblStylePr w:type="firstRow">
      <w:rPr>
        <w:sz w:val="24"/>
        <w:szCs w:val="24"/>
      </w:rPr>
      <w:tblPr/>
      <w:tcPr>
        <w:tcBorders>
          <w:top w:val="nil"/>
          <w:left w:val="nil"/>
          <w:bottom w:val="single" w:sz="24" w:space="0" w:color="2B579A"/>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2B579A"/>
          <w:insideH w:val="nil"/>
          <w:insideV w:val="nil"/>
        </w:tcBorders>
        <w:shd w:val="clear" w:color="auto" w:fill="FFFFFF"/>
      </w:tcPr>
    </w:tblStylePr>
    <w:tblStylePr w:type="lastCol">
      <w:tblPr/>
      <w:tcPr>
        <w:tcBorders>
          <w:top w:val="nil"/>
          <w:left w:val="single" w:sz="8" w:space="0" w:color="2B579A"/>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2D3EE"/>
      </w:tcPr>
    </w:tblStylePr>
    <w:tblStylePr w:type="band1Horz">
      <w:tblPr/>
      <w:tcPr>
        <w:tcBorders>
          <w:top w:val="nil"/>
          <w:bottom w:val="nil"/>
          <w:insideH w:val="nil"/>
          <w:insideV w:val="nil"/>
        </w:tcBorders>
        <w:shd w:val="clear" w:color="auto" w:fill="C2D3EE"/>
      </w:tcPr>
    </w:tblStylePr>
    <w:tblStylePr w:type="nwCell">
      <w:tblPr/>
      <w:tcPr>
        <w:shd w:val="clear" w:color="auto" w:fill="FFFFFF"/>
      </w:tcPr>
    </w:tblStylePr>
    <w:tblStylePr w:type="swCell">
      <w:tblPr/>
      <w:tcPr>
        <w:tcBorders>
          <w:top w:val="nil"/>
        </w:tcBorders>
      </w:tcPr>
    </w:tblStylePr>
  </w:style>
  <w:style w:type="table" w:styleId="rednialista2akcent6">
    <w:name w:val="Medium List 2 Accent 6"/>
    <w:basedOn w:val="Standardowy"/>
    <w:uiPriority w:val="66"/>
    <w:semiHidden/>
    <w:unhideWhenUsed/>
    <w:rsid w:val="00C70628"/>
    <w:rPr>
      <w:rFonts w:ascii="Segoe UI Light" w:eastAsia="MS Gothic" w:hAnsi="Segoe UI Light" w:cs="Segoe UI Light"/>
      <w:color w:val="000000"/>
    </w:rPr>
    <w:tblPr>
      <w:tblStyleRowBandSize w:val="1"/>
      <w:tblStyleColBandSize w:val="1"/>
      <w:tblBorders>
        <w:top w:val="single" w:sz="8" w:space="0" w:color="70AD47"/>
        <w:left w:val="single" w:sz="8" w:space="0" w:color="70AD47"/>
        <w:bottom w:val="single" w:sz="8" w:space="0" w:color="70AD47"/>
        <w:right w:val="single" w:sz="8" w:space="0" w:color="70AD47"/>
      </w:tblBorders>
    </w:tblPr>
    <w:tblStylePr w:type="firstRow">
      <w:rPr>
        <w:sz w:val="24"/>
        <w:szCs w:val="24"/>
      </w:rPr>
      <w:tblPr/>
      <w:tcPr>
        <w:tcBorders>
          <w:top w:val="nil"/>
          <w:left w:val="nil"/>
          <w:bottom w:val="single" w:sz="24" w:space="0" w:color="70AD47"/>
          <w:right w:val="nil"/>
          <w:insideH w:val="nil"/>
          <w:insideV w:val="nil"/>
        </w:tcBorders>
        <w:shd w:val="clear" w:color="auto" w:fill="FFFFFF"/>
      </w:tcPr>
    </w:tblStylePr>
    <w:tblStylePr w:type="lastRow">
      <w:tblPr/>
      <w:tcPr>
        <w:tcBorders>
          <w:top w:val="nil"/>
          <w:left w:val="nil"/>
          <w:bottom w:val="nil"/>
          <w:right w:val="nil"/>
          <w:insideH w:val="nil"/>
          <w:insideV w:val="nil"/>
        </w:tcBorders>
        <w:shd w:val="clear" w:color="auto" w:fill="FFFFFF"/>
      </w:tcPr>
    </w:tblStylePr>
    <w:tblStylePr w:type="firstCol">
      <w:tblPr/>
      <w:tcPr>
        <w:tcBorders>
          <w:top w:val="nil"/>
          <w:left w:val="nil"/>
          <w:bottom w:val="nil"/>
          <w:right w:val="single" w:sz="8" w:space="0" w:color="70AD47"/>
          <w:insideH w:val="nil"/>
          <w:insideV w:val="nil"/>
        </w:tcBorders>
        <w:shd w:val="clear" w:color="auto" w:fill="FFFFFF"/>
      </w:tcPr>
    </w:tblStylePr>
    <w:tblStylePr w:type="lastCol">
      <w:tblPr/>
      <w:tcPr>
        <w:tcBorders>
          <w:top w:val="nil"/>
          <w:left w:val="single" w:sz="8" w:space="0" w:color="70AD47"/>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BEBD0"/>
      </w:tcPr>
    </w:tblStylePr>
    <w:tblStylePr w:type="band1Horz">
      <w:tblPr/>
      <w:tcPr>
        <w:tcBorders>
          <w:top w:val="nil"/>
          <w:bottom w:val="nil"/>
          <w:insideH w:val="nil"/>
          <w:insideV w:val="nil"/>
        </w:tcBorders>
        <w:shd w:val="clear" w:color="auto" w:fill="DBEBD0"/>
      </w:tcPr>
    </w:tblStylePr>
    <w:tblStylePr w:type="nwCell">
      <w:tblPr/>
      <w:tcPr>
        <w:shd w:val="clear" w:color="auto" w:fill="FFFFFF"/>
      </w:tcPr>
    </w:tblStylePr>
    <w:tblStylePr w:type="swCell">
      <w:tblPr/>
      <w:tcPr>
        <w:tcBorders>
          <w:top w:val="nil"/>
        </w:tcBorders>
      </w:tcPr>
    </w:tblStylePr>
  </w:style>
  <w:style w:type="table" w:styleId="redniecieniowanie1">
    <w:name w:val="Medium Shading 1"/>
    <w:basedOn w:val="Standardowy"/>
    <w:uiPriority w:val="63"/>
    <w:semiHidden/>
    <w:unhideWhenUsed/>
    <w:rsid w:val="00C706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redniecieniowanie1akcent1">
    <w:name w:val="Medium Shading 1 Accent 1"/>
    <w:basedOn w:val="Standardowy"/>
    <w:uiPriority w:val="63"/>
    <w:semiHidden/>
    <w:unhideWhenUsed/>
    <w:rsid w:val="00C70628"/>
    <w:tblPr>
      <w:tblStyleRowBandSize w:val="1"/>
      <w:tblStyleColBandSize w:val="1"/>
      <w:tblBorders>
        <w:top w:val="single" w:sz="8" w:space="0" w:color="84B3DF"/>
        <w:left w:val="single" w:sz="8" w:space="0" w:color="84B3DF"/>
        <w:bottom w:val="single" w:sz="8" w:space="0" w:color="84B3DF"/>
        <w:right w:val="single" w:sz="8" w:space="0" w:color="84B3DF"/>
        <w:insideH w:val="single" w:sz="8" w:space="0" w:color="84B3DF"/>
      </w:tblBorders>
    </w:tblPr>
    <w:tblStylePr w:type="firstRow">
      <w:pPr>
        <w:spacing w:before="0" w:after="0" w:line="240" w:lineRule="auto"/>
      </w:pPr>
      <w:rPr>
        <w:b/>
        <w:bCs/>
        <w:color w:val="FFFFFF"/>
      </w:rPr>
      <w:tblPr/>
      <w:tcPr>
        <w:tcBorders>
          <w:top w:val="single" w:sz="8" w:space="0" w:color="84B3DF"/>
          <w:left w:val="single" w:sz="8" w:space="0" w:color="84B3DF"/>
          <w:bottom w:val="single" w:sz="8" w:space="0" w:color="84B3DF"/>
          <w:right w:val="single" w:sz="8" w:space="0" w:color="84B3DF"/>
          <w:insideH w:val="nil"/>
          <w:insideV w:val="nil"/>
        </w:tcBorders>
        <w:shd w:val="clear" w:color="auto" w:fill="5B9BD5"/>
      </w:tcPr>
    </w:tblStylePr>
    <w:tblStylePr w:type="lastRow">
      <w:pPr>
        <w:spacing w:before="0" w:after="0" w:line="240" w:lineRule="auto"/>
      </w:pPr>
      <w:rPr>
        <w:b/>
        <w:bCs/>
      </w:rPr>
      <w:tblPr/>
      <w:tcPr>
        <w:tcBorders>
          <w:top w:val="double" w:sz="6" w:space="0" w:color="84B3DF"/>
          <w:left w:val="single" w:sz="8" w:space="0" w:color="84B3DF"/>
          <w:bottom w:val="single" w:sz="8" w:space="0" w:color="84B3DF"/>
          <w:right w:val="single" w:sz="8" w:space="0" w:color="84B3DF"/>
          <w:insideH w:val="nil"/>
          <w:insideV w:val="nil"/>
        </w:tcBorders>
      </w:tcPr>
    </w:tblStylePr>
    <w:tblStylePr w:type="firstCol">
      <w:rPr>
        <w:b/>
        <w:bCs/>
      </w:rPr>
    </w:tblStylePr>
    <w:tblStylePr w:type="lastCol">
      <w:rPr>
        <w:b/>
        <w:bCs/>
      </w:rPr>
    </w:tblStylePr>
    <w:tblStylePr w:type="band1Vert">
      <w:tblPr/>
      <w:tcPr>
        <w:shd w:val="clear" w:color="auto" w:fill="D6E6F4"/>
      </w:tcPr>
    </w:tblStylePr>
    <w:tblStylePr w:type="band1Horz">
      <w:tblPr/>
      <w:tcPr>
        <w:tcBorders>
          <w:insideH w:val="nil"/>
          <w:insideV w:val="nil"/>
        </w:tcBorders>
        <w:shd w:val="clear" w:color="auto" w:fill="D6E6F4"/>
      </w:tcPr>
    </w:tblStylePr>
    <w:tblStylePr w:type="band2Horz">
      <w:tblPr/>
      <w:tcPr>
        <w:tcBorders>
          <w:insideH w:val="nil"/>
          <w:insideV w:val="nil"/>
        </w:tcBorders>
      </w:tcPr>
    </w:tblStylePr>
  </w:style>
  <w:style w:type="table" w:styleId="redniecieniowanie1akcent2">
    <w:name w:val="Medium Shading 1 Accent 2"/>
    <w:basedOn w:val="Standardowy"/>
    <w:uiPriority w:val="63"/>
    <w:semiHidden/>
    <w:unhideWhenUsed/>
    <w:rsid w:val="00C70628"/>
    <w:tblPr>
      <w:tblStyleRowBandSize w:val="1"/>
      <w:tblStyleColBandSize w:val="1"/>
      <w:tblBorders>
        <w:top w:val="single" w:sz="8" w:space="0" w:color="FF4040"/>
        <w:left w:val="single" w:sz="8" w:space="0" w:color="FF4040"/>
        <w:bottom w:val="single" w:sz="8" w:space="0" w:color="FF4040"/>
        <w:right w:val="single" w:sz="8" w:space="0" w:color="FF4040"/>
        <w:insideH w:val="single" w:sz="8" w:space="0" w:color="FF4040"/>
      </w:tblBorders>
    </w:tblPr>
    <w:tblStylePr w:type="firstRow">
      <w:pPr>
        <w:spacing w:before="0" w:after="0" w:line="240" w:lineRule="auto"/>
      </w:pPr>
      <w:rPr>
        <w:b/>
        <w:bCs/>
        <w:color w:val="FFFFFF"/>
      </w:rPr>
      <w:tblPr/>
      <w:tcPr>
        <w:tcBorders>
          <w:top w:val="single" w:sz="8" w:space="0" w:color="FF4040"/>
          <w:left w:val="single" w:sz="8" w:space="0" w:color="FF4040"/>
          <w:bottom w:val="single" w:sz="8" w:space="0" w:color="FF4040"/>
          <w:right w:val="single" w:sz="8" w:space="0" w:color="FF4040"/>
          <w:insideH w:val="nil"/>
          <w:insideV w:val="nil"/>
        </w:tcBorders>
        <w:shd w:val="clear" w:color="auto" w:fill="FF0000"/>
      </w:tcPr>
    </w:tblStylePr>
    <w:tblStylePr w:type="lastRow">
      <w:pPr>
        <w:spacing w:before="0" w:after="0" w:line="240" w:lineRule="auto"/>
      </w:pPr>
      <w:rPr>
        <w:b/>
        <w:bCs/>
      </w:rPr>
      <w:tblPr/>
      <w:tcPr>
        <w:tcBorders>
          <w:top w:val="double" w:sz="6" w:space="0" w:color="FF4040"/>
          <w:left w:val="single" w:sz="8" w:space="0" w:color="FF4040"/>
          <w:bottom w:val="single" w:sz="8" w:space="0" w:color="FF4040"/>
          <w:right w:val="single" w:sz="8" w:space="0" w:color="FF4040"/>
          <w:insideH w:val="nil"/>
          <w:insideV w:val="nil"/>
        </w:tcBorders>
      </w:tcPr>
    </w:tblStylePr>
    <w:tblStylePr w:type="firstCol">
      <w:rPr>
        <w:b/>
        <w:bCs/>
      </w:rPr>
    </w:tblStylePr>
    <w:tblStylePr w:type="lastCol">
      <w:rPr>
        <w:b/>
        <w:bCs/>
      </w:rPr>
    </w:tblStylePr>
    <w:tblStylePr w:type="band1Vert">
      <w:tblPr/>
      <w:tcPr>
        <w:shd w:val="clear" w:color="auto" w:fill="FFC0C0"/>
      </w:tcPr>
    </w:tblStylePr>
    <w:tblStylePr w:type="band1Horz">
      <w:tblPr/>
      <w:tcPr>
        <w:tcBorders>
          <w:insideH w:val="nil"/>
          <w:insideV w:val="nil"/>
        </w:tcBorders>
        <w:shd w:val="clear" w:color="auto" w:fill="FFC0C0"/>
      </w:tcPr>
    </w:tblStylePr>
    <w:tblStylePr w:type="band2Horz">
      <w:tblPr/>
      <w:tcPr>
        <w:tcBorders>
          <w:insideH w:val="nil"/>
          <w:insideV w:val="nil"/>
        </w:tcBorders>
      </w:tcPr>
    </w:tblStylePr>
  </w:style>
  <w:style w:type="table" w:styleId="redniecieniowanie1akcent3">
    <w:name w:val="Medium Shading 1 Accent 3"/>
    <w:basedOn w:val="Standardowy"/>
    <w:uiPriority w:val="63"/>
    <w:semiHidden/>
    <w:unhideWhenUsed/>
    <w:rsid w:val="00C70628"/>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tblBorders>
    </w:tblPr>
    <w:tblStylePr w:type="firstRow">
      <w:pPr>
        <w:spacing w:before="0" w:after="0" w:line="240" w:lineRule="auto"/>
      </w:pPr>
      <w:rPr>
        <w:b/>
        <w:bCs/>
        <w:color w:val="FFFFFF"/>
      </w:rPr>
      <w:tblPr/>
      <w:tcPr>
        <w:tcBorders>
          <w:top w:val="single" w:sz="8" w:space="0" w:color="BBBBBB"/>
          <w:left w:val="single" w:sz="8" w:space="0" w:color="BBBBBB"/>
          <w:bottom w:val="single" w:sz="8" w:space="0" w:color="BBBBBB"/>
          <w:right w:val="single" w:sz="8" w:space="0" w:color="BBBBBB"/>
          <w:insideH w:val="nil"/>
          <w:insideV w:val="nil"/>
        </w:tcBorders>
        <w:shd w:val="clear" w:color="auto" w:fill="A5A5A5"/>
      </w:tcPr>
    </w:tblStylePr>
    <w:tblStylePr w:type="lastRow">
      <w:pPr>
        <w:spacing w:before="0" w:after="0" w:line="240" w:lineRule="auto"/>
      </w:pPr>
      <w:rPr>
        <w:b/>
        <w:bCs/>
      </w:rPr>
      <w:tblPr/>
      <w:tcPr>
        <w:tcBorders>
          <w:top w:val="double" w:sz="6" w:space="0" w:color="BBBBBB"/>
          <w:left w:val="single" w:sz="8" w:space="0" w:color="BBBBBB"/>
          <w:bottom w:val="single" w:sz="8" w:space="0" w:color="BBBBBB"/>
          <w:right w:val="single" w:sz="8" w:space="0" w:color="BBBBBB"/>
          <w:insideH w:val="nil"/>
          <w:insideV w:val="nil"/>
        </w:tcBorders>
      </w:tcPr>
    </w:tblStylePr>
    <w:tblStylePr w:type="firstCol">
      <w:rPr>
        <w:b/>
        <w:bCs/>
      </w:rPr>
    </w:tblStylePr>
    <w:tblStylePr w:type="lastCol">
      <w:rPr>
        <w:b/>
        <w:bCs/>
      </w:rPr>
    </w:tblStylePr>
    <w:tblStylePr w:type="band1Vert">
      <w:tblPr/>
      <w:tcPr>
        <w:shd w:val="clear" w:color="auto" w:fill="E8E8E8"/>
      </w:tcPr>
    </w:tblStylePr>
    <w:tblStylePr w:type="band1Horz">
      <w:tblPr/>
      <w:tcPr>
        <w:tcBorders>
          <w:insideH w:val="nil"/>
          <w:insideV w:val="nil"/>
        </w:tcBorders>
        <w:shd w:val="clear" w:color="auto" w:fill="E8E8E8"/>
      </w:tcPr>
    </w:tblStylePr>
    <w:tblStylePr w:type="band2Horz">
      <w:tblPr/>
      <w:tcPr>
        <w:tcBorders>
          <w:insideH w:val="nil"/>
          <w:insideV w:val="nil"/>
        </w:tcBorders>
      </w:tcPr>
    </w:tblStylePr>
  </w:style>
  <w:style w:type="table" w:styleId="redniecieniowanie1akcent4">
    <w:name w:val="Medium Shading 1 Accent 4"/>
    <w:basedOn w:val="Standardowy"/>
    <w:uiPriority w:val="63"/>
    <w:semiHidden/>
    <w:unhideWhenUsed/>
    <w:rsid w:val="00C70628"/>
    <w:tblPr>
      <w:tblStyleRowBandSize w:val="1"/>
      <w:tblStyleColBandSize w:val="1"/>
      <w:tblBorders>
        <w:top w:val="single" w:sz="8" w:space="0" w:color="FFCF40"/>
        <w:left w:val="single" w:sz="8" w:space="0" w:color="FFCF40"/>
        <w:bottom w:val="single" w:sz="8" w:space="0" w:color="FFCF40"/>
        <w:right w:val="single" w:sz="8" w:space="0" w:color="FFCF40"/>
        <w:insideH w:val="single" w:sz="8" w:space="0" w:color="FFCF40"/>
      </w:tblBorders>
    </w:tblPr>
    <w:tblStylePr w:type="firstRow">
      <w:pPr>
        <w:spacing w:before="0" w:after="0" w:line="240" w:lineRule="auto"/>
      </w:pPr>
      <w:rPr>
        <w:b/>
        <w:bCs/>
        <w:color w:val="FFFFFF"/>
      </w:rPr>
      <w:tblPr/>
      <w:tcPr>
        <w:tcBorders>
          <w:top w:val="single" w:sz="8" w:space="0" w:color="FFCF40"/>
          <w:left w:val="single" w:sz="8" w:space="0" w:color="FFCF40"/>
          <w:bottom w:val="single" w:sz="8" w:space="0" w:color="FFCF40"/>
          <w:right w:val="single" w:sz="8" w:space="0" w:color="FFCF40"/>
          <w:insideH w:val="nil"/>
          <w:insideV w:val="nil"/>
        </w:tcBorders>
        <w:shd w:val="clear" w:color="auto" w:fill="FFC000"/>
      </w:tcPr>
    </w:tblStylePr>
    <w:tblStylePr w:type="lastRow">
      <w:pPr>
        <w:spacing w:before="0" w:after="0" w:line="240" w:lineRule="auto"/>
      </w:pPr>
      <w:rPr>
        <w:b/>
        <w:bCs/>
      </w:rPr>
      <w:tblPr/>
      <w:tcPr>
        <w:tcBorders>
          <w:top w:val="double" w:sz="6" w:space="0" w:color="FFCF40"/>
          <w:left w:val="single" w:sz="8" w:space="0" w:color="FFCF40"/>
          <w:bottom w:val="single" w:sz="8" w:space="0" w:color="FFCF40"/>
          <w:right w:val="single" w:sz="8" w:space="0" w:color="FFCF40"/>
          <w:insideH w:val="nil"/>
          <w:insideV w:val="nil"/>
        </w:tcBorders>
      </w:tcPr>
    </w:tblStylePr>
    <w:tblStylePr w:type="firstCol">
      <w:rPr>
        <w:b/>
        <w:bCs/>
      </w:rPr>
    </w:tblStylePr>
    <w:tblStylePr w:type="lastCol">
      <w:rPr>
        <w:b/>
        <w:bCs/>
      </w:rPr>
    </w:tblStylePr>
    <w:tblStylePr w:type="band1Vert">
      <w:tblPr/>
      <w:tcPr>
        <w:shd w:val="clear" w:color="auto" w:fill="FFEFC0"/>
      </w:tcPr>
    </w:tblStylePr>
    <w:tblStylePr w:type="band1Horz">
      <w:tblPr/>
      <w:tcPr>
        <w:tcBorders>
          <w:insideH w:val="nil"/>
          <w:insideV w:val="nil"/>
        </w:tcBorders>
        <w:shd w:val="clear" w:color="auto" w:fill="FFEFC0"/>
      </w:tcPr>
    </w:tblStylePr>
    <w:tblStylePr w:type="band2Horz">
      <w:tblPr/>
      <w:tcPr>
        <w:tcBorders>
          <w:insideH w:val="nil"/>
          <w:insideV w:val="nil"/>
        </w:tcBorders>
      </w:tcPr>
    </w:tblStylePr>
  </w:style>
  <w:style w:type="table" w:styleId="redniecieniowanie1akcent5">
    <w:name w:val="Medium Shading 1 Accent 5"/>
    <w:basedOn w:val="Standardowy"/>
    <w:uiPriority w:val="63"/>
    <w:semiHidden/>
    <w:unhideWhenUsed/>
    <w:rsid w:val="00C70628"/>
    <w:tblPr>
      <w:tblStyleRowBandSize w:val="1"/>
      <w:tblStyleColBandSize w:val="1"/>
      <w:tblBorders>
        <w:top w:val="single" w:sz="8" w:space="0" w:color="477BCB"/>
        <w:left w:val="single" w:sz="8" w:space="0" w:color="477BCB"/>
        <w:bottom w:val="single" w:sz="8" w:space="0" w:color="477BCB"/>
        <w:right w:val="single" w:sz="8" w:space="0" w:color="477BCB"/>
        <w:insideH w:val="single" w:sz="8" w:space="0" w:color="477BCB"/>
      </w:tblBorders>
    </w:tblPr>
    <w:tblStylePr w:type="firstRow">
      <w:pPr>
        <w:spacing w:before="0" w:after="0" w:line="240" w:lineRule="auto"/>
      </w:pPr>
      <w:rPr>
        <w:b/>
        <w:bCs/>
        <w:color w:val="FFFFFF"/>
      </w:rPr>
      <w:tblPr/>
      <w:tcPr>
        <w:tcBorders>
          <w:top w:val="single" w:sz="8" w:space="0" w:color="477BCB"/>
          <w:left w:val="single" w:sz="8" w:space="0" w:color="477BCB"/>
          <w:bottom w:val="single" w:sz="8" w:space="0" w:color="477BCB"/>
          <w:right w:val="single" w:sz="8" w:space="0" w:color="477BCB"/>
          <w:insideH w:val="nil"/>
          <w:insideV w:val="nil"/>
        </w:tcBorders>
        <w:shd w:val="clear" w:color="auto" w:fill="2B579A"/>
      </w:tcPr>
    </w:tblStylePr>
    <w:tblStylePr w:type="lastRow">
      <w:pPr>
        <w:spacing w:before="0" w:after="0" w:line="240" w:lineRule="auto"/>
      </w:pPr>
      <w:rPr>
        <w:b/>
        <w:bCs/>
      </w:rPr>
      <w:tblPr/>
      <w:tcPr>
        <w:tcBorders>
          <w:top w:val="double" w:sz="6" w:space="0" w:color="477BCB"/>
          <w:left w:val="single" w:sz="8" w:space="0" w:color="477BCB"/>
          <w:bottom w:val="single" w:sz="8" w:space="0" w:color="477BCB"/>
          <w:right w:val="single" w:sz="8" w:space="0" w:color="477BCB"/>
          <w:insideH w:val="nil"/>
          <w:insideV w:val="nil"/>
        </w:tcBorders>
      </w:tcPr>
    </w:tblStylePr>
    <w:tblStylePr w:type="firstCol">
      <w:rPr>
        <w:b/>
        <w:bCs/>
      </w:rPr>
    </w:tblStylePr>
    <w:tblStylePr w:type="lastCol">
      <w:rPr>
        <w:b/>
        <w:bCs/>
      </w:rPr>
    </w:tblStylePr>
    <w:tblStylePr w:type="band1Vert">
      <w:tblPr/>
      <w:tcPr>
        <w:shd w:val="clear" w:color="auto" w:fill="C2D3EE"/>
      </w:tcPr>
    </w:tblStylePr>
    <w:tblStylePr w:type="band1Horz">
      <w:tblPr/>
      <w:tcPr>
        <w:tcBorders>
          <w:insideH w:val="nil"/>
          <w:insideV w:val="nil"/>
        </w:tcBorders>
        <w:shd w:val="clear" w:color="auto" w:fill="C2D3EE"/>
      </w:tcPr>
    </w:tblStylePr>
    <w:tblStylePr w:type="band2Horz">
      <w:tblPr/>
      <w:tcPr>
        <w:tcBorders>
          <w:insideH w:val="nil"/>
          <w:insideV w:val="nil"/>
        </w:tcBorders>
      </w:tcPr>
    </w:tblStylePr>
  </w:style>
  <w:style w:type="table" w:styleId="redniecieniowanie1akcent6">
    <w:name w:val="Medium Shading 1 Accent 6"/>
    <w:basedOn w:val="Standardowy"/>
    <w:uiPriority w:val="63"/>
    <w:semiHidden/>
    <w:unhideWhenUsed/>
    <w:rsid w:val="00C70628"/>
    <w:tblPr>
      <w:tblStyleRowBandSize w:val="1"/>
      <w:tblStyleColBandSize w:val="1"/>
      <w:tblBorders>
        <w:top w:val="single" w:sz="8" w:space="0" w:color="93C571"/>
        <w:left w:val="single" w:sz="8" w:space="0" w:color="93C571"/>
        <w:bottom w:val="single" w:sz="8" w:space="0" w:color="93C571"/>
        <w:right w:val="single" w:sz="8" w:space="0" w:color="93C571"/>
        <w:insideH w:val="single" w:sz="8" w:space="0" w:color="93C571"/>
      </w:tblBorders>
    </w:tblPr>
    <w:tblStylePr w:type="firstRow">
      <w:pPr>
        <w:spacing w:before="0" w:after="0" w:line="240" w:lineRule="auto"/>
      </w:pPr>
      <w:rPr>
        <w:b/>
        <w:bCs/>
        <w:color w:val="FFFFFF"/>
      </w:rPr>
      <w:tblPr/>
      <w:tcPr>
        <w:tcBorders>
          <w:top w:val="single" w:sz="8" w:space="0" w:color="93C571"/>
          <w:left w:val="single" w:sz="8" w:space="0" w:color="93C571"/>
          <w:bottom w:val="single" w:sz="8" w:space="0" w:color="93C571"/>
          <w:right w:val="single" w:sz="8" w:space="0" w:color="93C571"/>
          <w:insideH w:val="nil"/>
          <w:insideV w:val="nil"/>
        </w:tcBorders>
        <w:shd w:val="clear" w:color="auto" w:fill="70AD47"/>
      </w:tcPr>
    </w:tblStylePr>
    <w:tblStylePr w:type="lastRow">
      <w:pPr>
        <w:spacing w:before="0" w:after="0" w:line="240" w:lineRule="auto"/>
      </w:pPr>
      <w:rPr>
        <w:b/>
        <w:bCs/>
      </w:rPr>
      <w:tblPr/>
      <w:tcPr>
        <w:tcBorders>
          <w:top w:val="double" w:sz="6" w:space="0" w:color="93C571"/>
          <w:left w:val="single" w:sz="8" w:space="0" w:color="93C571"/>
          <w:bottom w:val="single" w:sz="8" w:space="0" w:color="93C571"/>
          <w:right w:val="single" w:sz="8" w:space="0" w:color="93C571"/>
          <w:insideH w:val="nil"/>
          <w:insideV w:val="nil"/>
        </w:tcBorders>
      </w:tcPr>
    </w:tblStylePr>
    <w:tblStylePr w:type="firstCol">
      <w:rPr>
        <w:b/>
        <w:bCs/>
      </w:rPr>
    </w:tblStylePr>
    <w:tblStylePr w:type="lastCol">
      <w:rPr>
        <w:b/>
        <w:bCs/>
      </w:rPr>
    </w:tblStylePr>
    <w:tblStylePr w:type="band1Vert">
      <w:tblPr/>
      <w:tcPr>
        <w:shd w:val="clear" w:color="auto" w:fill="DBEBD0"/>
      </w:tcPr>
    </w:tblStylePr>
    <w:tblStylePr w:type="band1Horz">
      <w:tblPr/>
      <w:tcPr>
        <w:tcBorders>
          <w:insideH w:val="nil"/>
          <w:insideV w:val="nil"/>
        </w:tcBorders>
        <w:shd w:val="clear" w:color="auto" w:fill="DBEBD0"/>
      </w:tcPr>
    </w:tblStylePr>
    <w:tblStylePr w:type="band2Horz">
      <w:tblPr/>
      <w:tcPr>
        <w:tcBorders>
          <w:insideH w:val="nil"/>
          <w:insideV w:val="nil"/>
        </w:tcBorders>
      </w:tcPr>
    </w:tblStylePr>
  </w:style>
  <w:style w:type="table" w:styleId="redniecieniowanie2">
    <w:name w:val="Medium Shading 2"/>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1">
    <w:name w:val="Medium Shading 2 Accent 1"/>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5B9BD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5B9BD5"/>
      </w:tcPr>
    </w:tblStylePr>
    <w:tblStylePr w:type="lastCol">
      <w:rPr>
        <w:b/>
        <w:bCs/>
        <w:color w:val="FFFFFF"/>
      </w:rPr>
      <w:tblPr/>
      <w:tcPr>
        <w:tcBorders>
          <w:left w:val="nil"/>
          <w:right w:val="nil"/>
          <w:insideH w:val="nil"/>
          <w:insideV w:val="nil"/>
        </w:tcBorders>
        <w:shd w:val="clear" w:color="auto" w:fill="5B9BD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2">
    <w:name w:val="Medium Shading 2 Accent 2"/>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0000"/>
      </w:tcPr>
    </w:tblStylePr>
    <w:tblStylePr w:type="lastCol">
      <w:rPr>
        <w:b/>
        <w:bCs/>
        <w:color w:val="FFFFFF"/>
      </w:rPr>
      <w:tblPr/>
      <w:tcPr>
        <w:tcBorders>
          <w:left w:val="nil"/>
          <w:right w:val="nil"/>
          <w:insideH w:val="nil"/>
          <w:insideV w:val="nil"/>
        </w:tcBorders>
        <w:shd w:val="clear" w:color="auto" w:fill="FF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3">
    <w:name w:val="Medium Shading 2 Accent 3"/>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A5A5A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A5A5A5"/>
      </w:tcPr>
    </w:tblStylePr>
    <w:tblStylePr w:type="lastCol">
      <w:rPr>
        <w:b/>
        <w:bCs/>
        <w:color w:val="FFFFFF"/>
      </w:rPr>
      <w:tblPr/>
      <w:tcPr>
        <w:tcBorders>
          <w:left w:val="nil"/>
          <w:right w:val="nil"/>
          <w:insideH w:val="nil"/>
          <w:insideV w:val="nil"/>
        </w:tcBorders>
        <w:shd w:val="clear" w:color="auto" w:fill="A5A5A5"/>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4">
    <w:name w:val="Medium Shading 2 Accent 4"/>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FC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FFC000"/>
      </w:tcPr>
    </w:tblStylePr>
    <w:tblStylePr w:type="lastCol">
      <w:rPr>
        <w:b/>
        <w:bCs/>
        <w:color w:val="FFFFFF"/>
      </w:rPr>
      <w:tblPr/>
      <w:tcPr>
        <w:tcBorders>
          <w:left w:val="nil"/>
          <w:right w:val="nil"/>
          <w:insideH w:val="nil"/>
          <w:insideV w:val="nil"/>
        </w:tcBorders>
        <w:shd w:val="clear" w:color="auto" w:fill="FFC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5">
    <w:name w:val="Medium Shading 2 Accent 5"/>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2B579A"/>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2B579A"/>
      </w:tcPr>
    </w:tblStylePr>
    <w:tblStylePr w:type="lastCol">
      <w:rPr>
        <w:b/>
        <w:bCs/>
        <w:color w:val="FFFFFF"/>
      </w:rPr>
      <w:tblPr/>
      <w:tcPr>
        <w:tcBorders>
          <w:left w:val="nil"/>
          <w:right w:val="nil"/>
          <w:insideH w:val="nil"/>
          <w:insideV w:val="nil"/>
        </w:tcBorders>
        <w:shd w:val="clear" w:color="auto" w:fill="2B579A"/>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table" w:styleId="redniecieniowanie2akcent6">
    <w:name w:val="Medium Shading 2 Accent 6"/>
    <w:basedOn w:val="Standardowy"/>
    <w:uiPriority w:val="64"/>
    <w:semiHidden/>
    <w:unhideWhenUsed/>
    <w:rsid w:val="00C706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70AD47"/>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nil"/>
          <w:right w:val="nil"/>
          <w:insideH w:val="nil"/>
          <w:insideV w:val="nil"/>
        </w:tcBorders>
        <w:shd w:val="clear" w:color="auto" w:fill="70AD47"/>
      </w:tcPr>
    </w:tblStylePr>
    <w:tblStylePr w:type="lastCol">
      <w:rPr>
        <w:b/>
        <w:bCs/>
        <w:color w:val="FFFFFF"/>
      </w:rPr>
      <w:tblPr/>
      <w:tcPr>
        <w:tcBorders>
          <w:left w:val="nil"/>
          <w:right w:val="nil"/>
          <w:insideH w:val="nil"/>
          <w:insideV w:val="nil"/>
        </w:tcBorders>
        <w:shd w:val="clear" w:color="auto" w:fill="70AD47"/>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nil"/>
          <w:right w:val="nil"/>
          <w:insideH w:val="nil"/>
          <w:insideV w:val="nil"/>
        </w:tcBorders>
      </w:tcPr>
    </w:tblStylePr>
    <w:tblStylePr w:type="nwCell">
      <w:rPr>
        <w:color w:val="FFFFFF"/>
      </w:rPr>
      <w:tblPr/>
      <w:tcPr>
        <w:tcBorders>
          <w:top w:val="single" w:sz="18" w:space="0" w:color="auto"/>
          <w:left w:val="nil"/>
          <w:bottom w:val="nil"/>
          <w:right w:val="nil"/>
          <w:insideH w:val="nil"/>
          <w:insideV w:val="nil"/>
        </w:tcBorders>
      </w:tcPr>
    </w:tblStylePr>
  </w:style>
  <w:style w:type="paragraph" w:styleId="Nagwekwiadomoci">
    <w:name w:val="Message Header"/>
    <w:basedOn w:val="Normalny"/>
    <w:link w:val="NagwekwiadomociZnak"/>
    <w:uiPriority w:val="99"/>
    <w:semiHidden/>
    <w:unhideWhenUsed/>
    <w:rsid w:val="00C70628"/>
    <w:pPr>
      <w:pBdr>
        <w:top w:val="single" w:sz="6" w:space="1" w:color="auto"/>
        <w:left w:val="single" w:sz="6" w:space="1" w:color="auto"/>
        <w:bottom w:val="single" w:sz="6" w:space="1" w:color="auto"/>
        <w:right w:val="single" w:sz="6" w:space="1" w:color="auto"/>
      </w:pBdr>
      <w:shd w:val="pct20" w:color="auto" w:fill="auto"/>
      <w:spacing w:before="0" w:line="240" w:lineRule="auto"/>
      <w:ind w:left="1080" w:hanging="1080"/>
    </w:pPr>
    <w:rPr>
      <w:rFonts w:ascii="Segoe UI Light" w:eastAsia="MS Gothic" w:hAnsi="Segoe UI Light" w:cs="Segoe UI Light"/>
      <w:sz w:val="24"/>
      <w:szCs w:val="24"/>
    </w:rPr>
  </w:style>
  <w:style w:type="character" w:customStyle="1" w:styleId="NagwekwiadomociZnak">
    <w:name w:val="Nagłówek wiadomości Znak"/>
    <w:link w:val="Nagwekwiadomoci"/>
    <w:uiPriority w:val="99"/>
    <w:semiHidden/>
    <w:rsid w:val="00C70628"/>
    <w:rPr>
      <w:rFonts w:ascii="Segoe UI Light" w:eastAsia="MS Gothic" w:hAnsi="Segoe UI Light" w:cs="Segoe UI Light"/>
      <w:sz w:val="24"/>
      <w:szCs w:val="24"/>
      <w:shd w:val="pct20" w:color="auto" w:fill="auto"/>
    </w:rPr>
  </w:style>
  <w:style w:type="paragraph" w:styleId="Bezodstpw">
    <w:name w:val="No Spacing"/>
    <w:uiPriority w:val="1"/>
    <w:semiHidden/>
    <w:unhideWhenUsed/>
    <w:rsid w:val="00C70628"/>
    <w:rPr>
      <w:rFonts w:cs="Segoe UI"/>
      <w:sz w:val="22"/>
      <w:szCs w:val="22"/>
      <w:lang w:eastAsia="en-US"/>
    </w:rPr>
  </w:style>
  <w:style w:type="paragraph" w:styleId="Wcicienormalne">
    <w:name w:val="Normal Indent"/>
    <w:basedOn w:val="Normalny"/>
    <w:uiPriority w:val="99"/>
    <w:semiHidden/>
    <w:unhideWhenUsed/>
    <w:rsid w:val="00C70628"/>
    <w:pPr>
      <w:ind w:left="720"/>
    </w:pPr>
  </w:style>
  <w:style w:type="paragraph" w:styleId="Nagweknotatki">
    <w:name w:val="Note Heading"/>
    <w:basedOn w:val="Normalny"/>
    <w:next w:val="Normalny"/>
    <w:link w:val="NagweknotatkiZnak"/>
    <w:uiPriority w:val="99"/>
    <w:semiHidden/>
    <w:unhideWhenUsed/>
    <w:rsid w:val="00C70628"/>
    <w:pPr>
      <w:spacing w:before="0" w:line="240" w:lineRule="auto"/>
    </w:pPr>
  </w:style>
  <w:style w:type="character" w:customStyle="1" w:styleId="NagweknotatkiZnak">
    <w:name w:val="Nagłówek notatki Znak"/>
    <w:link w:val="Nagweknotatki"/>
    <w:uiPriority w:val="99"/>
    <w:semiHidden/>
    <w:rsid w:val="00C70628"/>
    <w:rPr>
      <w:rFonts w:ascii="Segoe UI" w:hAnsi="Segoe UI" w:cs="Segoe UI"/>
    </w:rPr>
  </w:style>
  <w:style w:type="character" w:styleId="Numerstrony">
    <w:name w:val="page number"/>
    <w:uiPriority w:val="99"/>
    <w:semiHidden/>
    <w:unhideWhenUsed/>
    <w:rsid w:val="00C70628"/>
    <w:rPr>
      <w:rFonts w:ascii="Segoe UI" w:hAnsi="Segoe UI" w:cs="Segoe UI"/>
    </w:rPr>
  </w:style>
  <w:style w:type="character" w:styleId="Tekstzastpczy">
    <w:name w:val="Placeholder Text"/>
    <w:uiPriority w:val="99"/>
    <w:semiHidden/>
    <w:rsid w:val="00C70628"/>
    <w:rPr>
      <w:rFonts w:ascii="Segoe UI" w:hAnsi="Segoe UI" w:cs="Segoe UI"/>
      <w:color w:val="595959"/>
    </w:rPr>
  </w:style>
  <w:style w:type="table" w:styleId="Zwykatabela1">
    <w:name w:val="Plain Table 1"/>
    <w:basedOn w:val="Standardowy"/>
    <w:uiPriority w:val="41"/>
    <w:rsid w:val="00C70628"/>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Zwykatabela2">
    <w:name w:val="Plain Table 2"/>
    <w:basedOn w:val="Standardowy"/>
    <w:uiPriority w:val="42"/>
    <w:rsid w:val="00C70628"/>
    <w:tblPr>
      <w:tblStyleRowBandSize w:val="1"/>
      <w:tblStyleColBandSize w:val="1"/>
      <w:tblBorders>
        <w:top w:val="single" w:sz="4" w:space="0" w:color="7F7F7F"/>
        <w:bottom w:val="single" w:sz="4" w:space="0" w:color="7F7F7F"/>
      </w:tblBorders>
    </w:tblPr>
    <w:tblStylePr w:type="firstRow">
      <w:rPr>
        <w:b/>
        <w:bCs/>
      </w:rPr>
      <w:tblPr/>
      <w:tcPr>
        <w:tcBorders>
          <w:bottom w:val="single" w:sz="4" w:space="0" w:color="7F7F7F"/>
        </w:tcBorders>
      </w:tcPr>
    </w:tblStylePr>
    <w:tblStylePr w:type="lastRow">
      <w:rPr>
        <w:b/>
        <w:bCs/>
      </w:rPr>
      <w:tblPr/>
      <w:tcPr>
        <w:tcBorders>
          <w:top w:val="single" w:sz="4" w:space="0" w:color="7F7F7F"/>
        </w:tcBorders>
      </w:tcPr>
    </w:tblStylePr>
    <w:tblStylePr w:type="firstCol">
      <w:rPr>
        <w:b/>
        <w:bCs/>
      </w:rPr>
    </w:tblStylePr>
    <w:tblStylePr w:type="lastCol">
      <w:rPr>
        <w:b/>
        <w:bCs/>
      </w:rPr>
    </w:tblStylePr>
    <w:tblStylePr w:type="band1Vert">
      <w:tblPr/>
      <w:tcPr>
        <w:tcBorders>
          <w:left w:val="single" w:sz="4" w:space="0" w:color="7F7F7F"/>
          <w:right w:val="single" w:sz="4" w:space="0" w:color="7F7F7F"/>
        </w:tcBorders>
      </w:tcPr>
    </w:tblStylePr>
    <w:tblStylePr w:type="band2Vert">
      <w:tblPr/>
      <w:tcPr>
        <w:tcBorders>
          <w:left w:val="single" w:sz="4" w:space="0" w:color="7F7F7F"/>
          <w:right w:val="single" w:sz="4" w:space="0" w:color="7F7F7F"/>
        </w:tcBorders>
      </w:tcPr>
    </w:tblStylePr>
    <w:tblStylePr w:type="band1Horz">
      <w:tblPr/>
      <w:tcPr>
        <w:tcBorders>
          <w:top w:val="single" w:sz="4" w:space="0" w:color="7F7F7F"/>
          <w:bottom w:val="single" w:sz="4" w:space="0" w:color="7F7F7F"/>
        </w:tcBorders>
      </w:tcPr>
    </w:tblStylePr>
  </w:style>
  <w:style w:type="table" w:styleId="Zwykatabela3">
    <w:name w:val="Plain Table 3"/>
    <w:basedOn w:val="Standardowy"/>
    <w:uiPriority w:val="43"/>
    <w:rsid w:val="00C70628"/>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styleId="Zwykatabela4">
    <w:name w:val="Plain Table 4"/>
    <w:basedOn w:val="Standardowy"/>
    <w:uiPriority w:val="44"/>
    <w:rsid w:val="00C70628"/>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styleId="Zwykatabela5">
    <w:name w:val="Plain Table 5"/>
    <w:basedOn w:val="Standardowy"/>
    <w:uiPriority w:val="45"/>
    <w:rsid w:val="00C70628"/>
    <w:tblPr>
      <w:tblStyleRowBandSize w:val="1"/>
      <w:tblStyleColBandSize w:val="1"/>
    </w:tblPr>
    <w:tblStylePr w:type="firstRow">
      <w:rPr>
        <w:rFonts w:ascii="Segoe UI Light" w:eastAsia="MS Gothic" w:hAnsi="Segoe UI Light" w:cs="Times New Roman"/>
        <w:i/>
        <w:iCs/>
        <w:sz w:val="26"/>
      </w:rPr>
      <w:tblPr/>
      <w:tcPr>
        <w:tcBorders>
          <w:bottom w:val="single" w:sz="4" w:space="0" w:color="7F7F7F"/>
        </w:tcBorders>
        <w:shd w:val="clear" w:color="auto" w:fill="FFFFFF"/>
      </w:tcPr>
    </w:tblStylePr>
    <w:tblStylePr w:type="lastRow">
      <w:rPr>
        <w:rFonts w:ascii="Segoe UI Light" w:eastAsia="MS Gothic" w:hAnsi="Segoe UI Light" w:cs="Times New Roman"/>
        <w:i/>
        <w:iCs/>
        <w:sz w:val="26"/>
      </w:rPr>
      <w:tblPr/>
      <w:tcPr>
        <w:tcBorders>
          <w:top w:val="single" w:sz="4" w:space="0" w:color="7F7F7F"/>
        </w:tcBorders>
        <w:shd w:val="clear" w:color="auto" w:fill="FFFFFF"/>
      </w:tcPr>
    </w:tblStylePr>
    <w:tblStylePr w:type="firstCol">
      <w:pPr>
        <w:jc w:val="right"/>
      </w:pPr>
      <w:rPr>
        <w:rFonts w:ascii="Segoe UI Light" w:eastAsia="MS Gothic" w:hAnsi="Segoe UI Light" w:cs="Times New Roman"/>
        <w:i/>
        <w:iCs/>
        <w:sz w:val="26"/>
      </w:rPr>
      <w:tblPr/>
      <w:tcPr>
        <w:tcBorders>
          <w:right w:val="single" w:sz="4" w:space="0" w:color="7F7F7F"/>
        </w:tcBorders>
        <w:shd w:val="clear" w:color="auto" w:fill="FFFFFF"/>
      </w:tcPr>
    </w:tblStylePr>
    <w:tblStylePr w:type="lastCol">
      <w:rPr>
        <w:rFonts w:ascii="Segoe UI Light" w:eastAsia="MS Gothic" w:hAnsi="Segoe UI Light"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Zwykytekst">
    <w:name w:val="Plain Text"/>
    <w:basedOn w:val="Normalny"/>
    <w:link w:val="ZwykytekstZnak"/>
    <w:uiPriority w:val="99"/>
    <w:semiHidden/>
    <w:unhideWhenUsed/>
    <w:rsid w:val="00C70628"/>
    <w:pPr>
      <w:spacing w:before="0" w:line="240" w:lineRule="auto"/>
    </w:pPr>
    <w:rPr>
      <w:rFonts w:ascii="Consolas" w:hAnsi="Consolas" w:cs="Consolas"/>
      <w:szCs w:val="21"/>
    </w:rPr>
  </w:style>
  <w:style w:type="character" w:customStyle="1" w:styleId="ZwykytekstZnak">
    <w:name w:val="Zwykły tekst Znak"/>
    <w:link w:val="Zwykytekst"/>
    <w:uiPriority w:val="99"/>
    <w:semiHidden/>
    <w:rsid w:val="00C70628"/>
    <w:rPr>
      <w:rFonts w:ascii="Consolas" w:hAnsi="Consolas" w:cs="Consolas"/>
      <w:szCs w:val="21"/>
    </w:rPr>
  </w:style>
  <w:style w:type="paragraph" w:styleId="Cytat">
    <w:name w:val="Quote"/>
    <w:basedOn w:val="Normalny"/>
    <w:next w:val="Normalny"/>
    <w:link w:val="CytatZnak"/>
    <w:uiPriority w:val="29"/>
    <w:semiHidden/>
    <w:unhideWhenUsed/>
    <w:qFormat/>
    <w:rsid w:val="00C70628"/>
    <w:pPr>
      <w:spacing w:before="200" w:after="160"/>
      <w:jc w:val="center"/>
    </w:pPr>
    <w:rPr>
      <w:i/>
      <w:iCs/>
      <w:color w:val="404040"/>
    </w:rPr>
  </w:style>
  <w:style w:type="character" w:customStyle="1" w:styleId="CytatZnak">
    <w:name w:val="Cytat Znak"/>
    <w:link w:val="Cytat"/>
    <w:uiPriority w:val="29"/>
    <w:semiHidden/>
    <w:rsid w:val="00C70628"/>
    <w:rPr>
      <w:rFonts w:ascii="Segoe UI" w:hAnsi="Segoe UI" w:cs="Segoe UI"/>
      <w:i/>
      <w:iCs/>
      <w:color w:val="404040"/>
    </w:rPr>
  </w:style>
  <w:style w:type="paragraph" w:styleId="Zwrotgrzecznociowy">
    <w:name w:val="Salutation"/>
    <w:basedOn w:val="Normalny"/>
    <w:next w:val="Normalny"/>
    <w:link w:val="ZwrotgrzecznociowyZnak"/>
    <w:uiPriority w:val="99"/>
    <w:semiHidden/>
    <w:unhideWhenUsed/>
    <w:rsid w:val="00C70628"/>
  </w:style>
  <w:style w:type="character" w:customStyle="1" w:styleId="ZwrotgrzecznociowyZnak">
    <w:name w:val="Zwrot grzecznościowy Znak"/>
    <w:link w:val="Zwrotgrzecznociowy"/>
    <w:uiPriority w:val="99"/>
    <w:semiHidden/>
    <w:rsid w:val="00C70628"/>
    <w:rPr>
      <w:rFonts w:ascii="Segoe UI" w:hAnsi="Segoe UI" w:cs="Segoe UI"/>
    </w:rPr>
  </w:style>
  <w:style w:type="paragraph" w:styleId="Podpis">
    <w:name w:val="Signature"/>
    <w:basedOn w:val="Normalny"/>
    <w:link w:val="PodpisZnak"/>
    <w:uiPriority w:val="99"/>
    <w:semiHidden/>
    <w:unhideWhenUsed/>
    <w:rsid w:val="00C70628"/>
    <w:pPr>
      <w:spacing w:before="0" w:line="240" w:lineRule="auto"/>
      <w:ind w:left="4320"/>
    </w:pPr>
  </w:style>
  <w:style w:type="character" w:customStyle="1" w:styleId="PodpisZnak">
    <w:name w:val="Podpis Znak"/>
    <w:link w:val="Podpis"/>
    <w:uiPriority w:val="99"/>
    <w:semiHidden/>
    <w:rsid w:val="00C70628"/>
    <w:rPr>
      <w:rFonts w:ascii="Segoe UI" w:hAnsi="Segoe UI" w:cs="Segoe UI"/>
    </w:rPr>
  </w:style>
  <w:style w:type="character" w:styleId="Wyrnieniedelikatne">
    <w:name w:val="Subtle Emphasis"/>
    <w:uiPriority w:val="19"/>
    <w:semiHidden/>
    <w:unhideWhenUsed/>
    <w:qFormat/>
    <w:rsid w:val="00C70628"/>
    <w:rPr>
      <w:rFonts w:ascii="Segoe UI" w:hAnsi="Segoe UI" w:cs="Segoe UI"/>
      <w:i/>
      <w:iCs/>
      <w:color w:val="404040"/>
    </w:rPr>
  </w:style>
  <w:style w:type="character" w:styleId="Odwoaniedelikatne">
    <w:name w:val="Subtle Reference"/>
    <w:uiPriority w:val="31"/>
    <w:semiHidden/>
    <w:unhideWhenUsed/>
    <w:qFormat/>
    <w:rsid w:val="00C70628"/>
    <w:rPr>
      <w:rFonts w:ascii="Segoe UI" w:hAnsi="Segoe UI" w:cs="Segoe UI"/>
      <w:smallCaps/>
      <w:color w:val="5A5A5A"/>
    </w:rPr>
  </w:style>
  <w:style w:type="table" w:styleId="Tabela-Efekty3W1">
    <w:name w:val="Table 3D effects 1"/>
    <w:basedOn w:val="Standardowy"/>
    <w:uiPriority w:val="99"/>
    <w:semiHidden/>
    <w:unhideWhenUsed/>
    <w:rsid w:val="00C70628"/>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ela-Efekty3W2">
    <w:name w:val="Table 3D effects 2"/>
    <w:basedOn w:val="Standardowy"/>
    <w:uiPriority w:val="99"/>
    <w:semiHidden/>
    <w:unhideWhenUsed/>
    <w:rsid w:val="00C70628"/>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Efekty3W3">
    <w:name w:val="Table 3D effects 3"/>
    <w:basedOn w:val="Standardowy"/>
    <w:uiPriority w:val="99"/>
    <w:semiHidden/>
    <w:unhideWhenUsed/>
    <w:rsid w:val="00C70628"/>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yczny1">
    <w:name w:val="Table Classic 1"/>
    <w:basedOn w:val="Standardowy"/>
    <w:uiPriority w:val="99"/>
    <w:semiHidden/>
    <w:unhideWhenUsed/>
    <w:rsid w:val="00C70628"/>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lasyczny2">
    <w:name w:val="Table Classic 2"/>
    <w:basedOn w:val="Standardowy"/>
    <w:uiPriority w:val="99"/>
    <w:semiHidden/>
    <w:unhideWhenUsed/>
    <w:rsid w:val="00C70628"/>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ela-Klasyczny3">
    <w:name w:val="Table Classic 3"/>
    <w:basedOn w:val="Standardowy"/>
    <w:uiPriority w:val="99"/>
    <w:semiHidden/>
    <w:unhideWhenUsed/>
    <w:rsid w:val="00C70628"/>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ela-Klasyczny4">
    <w:name w:val="Table Classic 4"/>
    <w:basedOn w:val="Standardowy"/>
    <w:uiPriority w:val="99"/>
    <w:semiHidden/>
    <w:unhideWhenUsed/>
    <w:rsid w:val="00C70628"/>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ela-Kolorowy1">
    <w:name w:val="Table Colorful 1"/>
    <w:basedOn w:val="Standardowy"/>
    <w:uiPriority w:val="99"/>
    <w:semiHidden/>
    <w:unhideWhenUsed/>
    <w:rsid w:val="00C70628"/>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ela-Kolorowy2">
    <w:name w:val="Table Colorful 2"/>
    <w:basedOn w:val="Standardowy"/>
    <w:uiPriority w:val="99"/>
    <w:semiHidden/>
    <w:unhideWhenUsed/>
    <w:rsid w:val="00C70628"/>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ela-Kolorowy3">
    <w:name w:val="Table Colorful 3"/>
    <w:basedOn w:val="Standardowy"/>
    <w:uiPriority w:val="99"/>
    <w:semiHidden/>
    <w:unhideWhenUsed/>
    <w:rsid w:val="00C70628"/>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ela-Kolumnowy1">
    <w:name w:val="Table Columns 1"/>
    <w:basedOn w:val="Standardowy"/>
    <w:uiPriority w:val="99"/>
    <w:semiHidden/>
    <w:unhideWhenUsed/>
    <w:rsid w:val="00C70628"/>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olumnowy2">
    <w:name w:val="Table Columns 2"/>
    <w:basedOn w:val="Standardowy"/>
    <w:uiPriority w:val="99"/>
    <w:semiHidden/>
    <w:unhideWhenUsed/>
    <w:rsid w:val="00C70628"/>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Kolumnowy3">
    <w:name w:val="Table Columns 3"/>
    <w:basedOn w:val="Standardowy"/>
    <w:uiPriority w:val="99"/>
    <w:semiHidden/>
    <w:unhideWhenUsed/>
    <w:rsid w:val="00C70628"/>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a-Kolumnowy4">
    <w:name w:val="Table Columns 4"/>
    <w:basedOn w:val="Standardowy"/>
    <w:uiPriority w:val="99"/>
    <w:semiHidden/>
    <w:unhideWhenUsed/>
    <w:rsid w:val="00C70628"/>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a-Kolumnowy5">
    <w:name w:val="Table Columns 5"/>
    <w:basedOn w:val="Standardowy"/>
    <w:uiPriority w:val="99"/>
    <w:semiHidden/>
    <w:unhideWhenUsed/>
    <w:rsid w:val="00C70628"/>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a-Wspczesny">
    <w:name w:val="Table Contemporary"/>
    <w:basedOn w:val="Standardowy"/>
    <w:uiPriority w:val="99"/>
    <w:semiHidden/>
    <w:unhideWhenUsed/>
    <w:rsid w:val="00C70628"/>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ela-Elegancki">
    <w:name w:val="Table Elegant"/>
    <w:basedOn w:val="Standardowy"/>
    <w:uiPriority w:val="99"/>
    <w:semiHidden/>
    <w:unhideWhenUsed/>
    <w:rsid w:val="00C70628"/>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ela-Siatka1">
    <w:name w:val="Table Grid 1"/>
    <w:basedOn w:val="Standardowy"/>
    <w:uiPriority w:val="99"/>
    <w:semiHidden/>
    <w:unhideWhenUsed/>
    <w:rsid w:val="00C7062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a-Siatka2">
    <w:name w:val="Table Grid 2"/>
    <w:basedOn w:val="Standardowy"/>
    <w:uiPriority w:val="99"/>
    <w:semiHidden/>
    <w:unhideWhenUsed/>
    <w:rsid w:val="00C70628"/>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Siatka3">
    <w:name w:val="Table Grid 3"/>
    <w:basedOn w:val="Standardowy"/>
    <w:uiPriority w:val="99"/>
    <w:semiHidden/>
    <w:unhideWhenUsed/>
    <w:rsid w:val="00C70628"/>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a-Siatka4">
    <w:name w:val="Table Grid 4"/>
    <w:basedOn w:val="Standardowy"/>
    <w:uiPriority w:val="99"/>
    <w:semiHidden/>
    <w:unhideWhenUsed/>
    <w:rsid w:val="00C70628"/>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a-Siatka5">
    <w:name w:val="Table Grid 5"/>
    <w:basedOn w:val="Standardowy"/>
    <w:uiPriority w:val="99"/>
    <w:semiHidden/>
    <w:unhideWhenUsed/>
    <w:rsid w:val="00C70628"/>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6">
    <w:name w:val="Table Grid 6"/>
    <w:basedOn w:val="Standardowy"/>
    <w:uiPriority w:val="99"/>
    <w:semiHidden/>
    <w:unhideWhenUsed/>
    <w:rsid w:val="00C70628"/>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7">
    <w:name w:val="Table Grid 7"/>
    <w:basedOn w:val="Standardowy"/>
    <w:uiPriority w:val="99"/>
    <w:semiHidden/>
    <w:unhideWhenUsed/>
    <w:rsid w:val="00C70628"/>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a-Siatka8">
    <w:name w:val="Table Grid 8"/>
    <w:basedOn w:val="Standardowy"/>
    <w:uiPriority w:val="99"/>
    <w:semiHidden/>
    <w:unhideWhenUsed/>
    <w:rsid w:val="00C70628"/>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Siatkatabelijasna">
    <w:name w:val="Grid Table Light"/>
    <w:basedOn w:val="Standardowy"/>
    <w:uiPriority w:val="40"/>
    <w:rsid w:val="00C70628"/>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Tabela-Lista1">
    <w:name w:val="Table List 1"/>
    <w:basedOn w:val="Standardowy"/>
    <w:uiPriority w:val="99"/>
    <w:semiHidden/>
    <w:unhideWhenUsed/>
    <w:rsid w:val="00C70628"/>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Lista2">
    <w:name w:val="Table List 2"/>
    <w:basedOn w:val="Standardowy"/>
    <w:uiPriority w:val="99"/>
    <w:semiHidden/>
    <w:unhideWhenUsed/>
    <w:rsid w:val="00C70628"/>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Lista3">
    <w:name w:val="Table List 3"/>
    <w:basedOn w:val="Standardowy"/>
    <w:uiPriority w:val="99"/>
    <w:semiHidden/>
    <w:unhideWhenUsed/>
    <w:rsid w:val="00C70628"/>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a-Lista4">
    <w:name w:val="Table List 4"/>
    <w:basedOn w:val="Standardowy"/>
    <w:uiPriority w:val="99"/>
    <w:semiHidden/>
    <w:unhideWhenUsed/>
    <w:rsid w:val="00C70628"/>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a-Lista5">
    <w:name w:val="Table List 5"/>
    <w:basedOn w:val="Standardowy"/>
    <w:uiPriority w:val="99"/>
    <w:semiHidden/>
    <w:unhideWhenUsed/>
    <w:rsid w:val="00C70628"/>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a-Lista6">
    <w:name w:val="Table List 6"/>
    <w:basedOn w:val="Standardowy"/>
    <w:uiPriority w:val="99"/>
    <w:semiHidden/>
    <w:unhideWhenUsed/>
    <w:rsid w:val="00C70628"/>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a-Lista7">
    <w:name w:val="Table List 7"/>
    <w:basedOn w:val="Standardowy"/>
    <w:uiPriority w:val="99"/>
    <w:semiHidden/>
    <w:unhideWhenUsed/>
    <w:rsid w:val="00C70628"/>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a-Lista8">
    <w:name w:val="Table List 8"/>
    <w:basedOn w:val="Standardowy"/>
    <w:uiPriority w:val="99"/>
    <w:semiHidden/>
    <w:unhideWhenUsed/>
    <w:rsid w:val="00C70628"/>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Wykazrde">
    <w:name w:val="table of authorities"/>
    <w:basedOn w:val="Normalny"/>
    <w:next w:val="Normalny"/>
    <w:uiPriority w:val="99"/>
    <w:semiHidden/>
    <w:unhideWhenUsed/>
    <w:rsid w:val="00C70628"/>
    <w:pPr>
      <w:ind w:left="220" w:hanging="220"/>
    </w:pPr>
  </w:style>
  <w:style w:type="paragraph" w:styleId="Spisilustracji">
    <w:name w:val="table of figures"/>
    <w:basedOn w:val="Normalny"/>
    <w:next w:val="Normalny"/>
    <w:uiPriority w:val="99"/>
    <w:semiHidden/>
    <w:unhideWhenUsed/>
    <w:rsid w:val="00C70628"/>
  </w:style>
  <w:style w:type="table" w:styleId="Tabela-Profesjonalny">
    <w:name w:val="Table Professional"/>
    <w:basedOn w:val="Standardowy"/>
    <w:uiPriority w:val="99"/>
    <w:semiHidden/>
    <w:unhideWhenUsed/>
    <w:rsid w:val="00C70628"/>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ela-Prosty1">
    <w:name w:val="Table Simple 1"/>
    <w:basedOn w:val="Standardowy"/>
    <w:uiPriority w:val="99"/>
    <w:semiHidden/>
    <w:unhideWhenUsed/>
    <w:rsid w:val="00C70628"/>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ela-Prosty2">
    <w:name w:val="Table Simple 2"/>
    <w:basedOn w:val="Standardowy"/>
    <w:uiPriority w:val="99"/>
    <w:semiHidden/>
    <w:unhideWhenUsed/>
    <w:rsid w:val="00C70628"/>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ela-Prosty3">
    <w:name w:val="Table Simple 3"/>
    <w:basedOn w:val="Standardowy"/>
    <w:uiPriority w:val="99"/>
    <w:semiHidden/>
    <w:unhideWhenUsed/>
    <w:rsid w:val="00C70628"/>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ela-Delikatny1">
    <w:name w:val="Table Subtle 1"/>
    <w:basedOn w:val="Standardowy"/>
    <w:uiPriority w:val="99"/>
    <w:semiHidden/>
    <w:unhideWhenUsed/>
    <w:rsid w:val="00C70628"/>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Delikatny2">
    <w:name w:val="Table Subtle 2"/>
    <w:basedOn w:val="Standardowy"/>
    <w:uiPriority w:val="99"/>
    <w:semiHidden/>
    <w:unhideWhenUsed/>
    <w:rsid w:val="00C70628"/>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a-Motyw">
    <w:name w:val="Table Theme"/>
    <w:basedOn w:val="Standardowy"/>
    <w:uiPriority w:val="99"/>
    <w:semiHidden/>
    <w:unhideWhenUsed/>
    <w:rsid w:val="00C7062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eWeb1">
    <w:name w:val="Table Web 1"/>
    <w:basedOn w:val="Standardowy"/>
    <w:uiPriority w:val="99"/>
    <w:semiHidden/>
    <w:unhideWhenUsed/>
    <w:rsid w:val="00C70628"/>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ieWeb2">
    <w:name w:val="Table Web 2"/>
    <w:basedOn w:val="Standardowy"/>
    <w:uiPriority w:val="99"/>
    <w:semiHidden/>
    <w:unhideWhenUsed/>
    <w:rsid w:val="00C70628"/>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ela-SieWeb3">
    <w:name w:val="Table Web 3"/>
    <w:basedOn w:val="Standardowy"/>
    <w:uiPriority w:val="99"/>
    <w:semiHidden/>
    <w:unhideWhenUsed/>
    <w:rsid w:val="00C70628"/>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Nagwekwykazurde">
    <w:name w:val="toa heading"/>
    <w:basedOn w:val="Normalny"/>
    <w:next w:val="Normalny"/>
    <w:uiPriority w:val="99"/>
    <w:semiHidden/>
    <w:unhideWhenUsed/>
    <w:rsid w:val="00C70628"/>
    <w:pPr>
      <w:spacing w:before="120"/>
    </w:pPr>
    <w:rPr>
      <w:rFonts w:ascii="Segoe UI Light" w:eastAsia="MS Gothic" w:hAnsi="Segoe UI Light" w:cs="Segoe UI Light"/>
      <w:b/>
      <w:bCs/>
      <w:sz w:val="24"/>
      <w:szCs w:val="24"/>
    </w:rPr>
  </w:style>
  <w:style w:type="paragraph" w:styleId="Spistreci1">
    <w:name w:val="toc 1"/>
    <w:basedOn w:val="Normalny"/>
    <w:next w:val="Normalny"/>
    <w:autoRedefine/>
    <w:uiPriority w:val="39"/>
    <w:unhideWhenUsed/>
    <w:rsid w:val="00C70628"/>
    <w:pPr>
      <w:spacing w:after="100"/>
    </w:pPr>
    <w:rPr>
      <w:noProof/>
    </w:rPr>
  </w:style>
  <w:style w:type="paragraph" w:styleId="Spistreci2">
    <w:name w:val="toc 2"/>
    <w:basedOn w:val="Normalny"/>
    <w:next w:val="Normalny"/>
    <w:autoRedefine/>
    <w:uiPriority w:val="39"/>
    <w:unhideWhenUsed/>
    <w:rsid w:val="00C70628"/>
    <w:pPr>
      <w:spacing w:after="100"/>
      <w:ind w:left="220"/>
    </w:pPr>
  </w:style>
  <w:style w:type="paragraph" w:styleId="Spistreci3">
    <w:name w:val="toc 3"/>
    <w:basedOn w:val="Normalny"/>
    <w:next w:val="Normalny"/>
    <w:autoRedefine/>
    <w:uiPriority w:val="39"/>
    <w:unhideWhenUsed/>
    <w:rsid w:val="00C70628"/>
    <w:pPr>
      <w:spacing w:after="100"/>
      <w:ind w:left="440"/>
    </w:pPr>
  </w:style>
  <w:style w:type="paragraph" w:styleId="Spistreci4">
    <w:name w:val="toc 4"/>
    <w:basedOn w:val="Normalny"/>
    <w:next w:val="Normalny"/>
    <w:autoRedefine/>
    <w:uiPriority w:val="39"/>
    <w:semiHidden/>
    <w:unhideWhenUsed/>
    <w:rsid w:val="00C70628"/>
    <w:pPr>
      <w:spacing w:after="100"/>
      <w:ind w:left="660"/>
    </w:pPr>
  </w:style>
  <w:style w:type="paragraph" w:styleId="Spistreci5">
    <w:name w:val="toc 5"/>
    <w:basedOn w:val="Normalny"/>
    <w:next w:val="Normalny"/>
    <w:autoRedefine/>
    <w:uiPriority w:val="39"/>
    <w:semiHidden/>
    <w:unhideWhenUsed/>
    <w:rsid w:val="00C70628"/>
    <w:pPr>
      <w:spacing w:after="100"/>
      <w:ind w:left="880"/>
    </w:pPr>
  </w:style>
  <w:style w:type="paragraph" w:styleId="Spistreci6">
    <w:name w:val="toc 6"/>
    <w:basedOn w:val="Normalny"/>
    <w:next w:val="Normalny"/>
    <w:autoRedefine/>
    <w:uiPriority w:val="39"/>
    <w:semiHidden/>
    <w:unhideWhenUsed/>
    <w:rsid w:val="00C70628"/>
    <w:pPr>
      <w:spacing w:after="100"/>
      <w:ind w:left="1100"/>
    </w:pPr>
  </w:style>
  <w:style w:type="paragraph" w:styleId="Spistreci7">
    <w:name w:val="toc 7"/>
    <w:basedOn w:val="Normalny"/>
    <w:next w:val="Normalny"/>
    <w:autoRedefine/>
    <w:uiPriority w:val="39"/>
    <w:semiHidden/>
    <w:unhideWhenUsed/>
    <w:rsid w:val="00C70628"/>
    <w:pPr>
      <w:spacing w:after="100"/>
      <w:ind w:left="1320"/>
    </w:pPr>
  </w:style>
  <w:style w:type="paragraph" w:styleId="Spistreci8">
    <w:name w:val="toc 8"/>
    <w:basedOn w:val="Normalny"/>
    <w:next w:val="Normalny"/>
    <w:autoRedefine/>
    <w:uiPriority w:val="39"/>
    <w:semiHidden/>
    <w:unhideWhenUsed/>
    <w:rsid w:val="00C70628"/>
    <w:pPr>
      <w:spacing w:after="100"/>
      <w:ind w:left="1540"/>
    </w:pPr>
  </w:style>
  <w:style w:type="paragraph" w:styleId="Spistreci9">
    <w:name w:val="toc 9"/>
    <w:basedOn w:val="Normalny"/>
    <w:next w:val="Normalny"/>
    <w:autoRedefine/>
    <w:uiPriority w:val="39"/>
    <w:semiHidden/>
    <w:unhideWhenUsed/>
    <w:rsid w:val="00C70628"/>
    <w:pPr>
      <w:spacing w:after="100"/>
      <w:ind w:left="1760"/>
    </w:pPr>
  </w:style>
  <w:style w:type="character" w:customStyle="1" w:styleId="UnresolvedMention1">
    <w:name w:val="Unresolved Mention1"/>
    <w:uiPriority w:val="99"/>
    <w:unhideWhenUsed/>
    <w:rsid w:val="00C70628"/>
    <w:rPr>
      <w:rFonts w:ascii="Segoe UI" w:hAnsi="Segoe UI" w:cs="Segoe UI"/>
      <w:color w:val="605E5C"/>
      <w:shd w:val="clear" w:color="auto" w:fill="E1DFDD"/>
    </w:rPr>
  </w:style>
  <w:style w:type="character" w:customStyle="1" w:styleId="Mention1">
    <w:name w:val="Mention1"/>
    <w:uiPriority w:val="99"/>
    <w:unhideWhenUsed/>
    <w:rsid w:val="00C70628"/>
    <w:rPr>
      <w:rFonts w:ascii="Segoe UI" w:hAnsi="Segoe UI" w:cs="Segoe UI"/>
      <w:color w:val="2B579A"/>
      <w:shd w:val="clear" w:color="auto" w:fill="E1DFDD"/>
    </w:rPr>
  </w:style>
  <w:style w:type="paragraph" w:styleId="Poprawka">
    <w:name w:val="Revision"/>
    <w:hidden/>
    <w:uiPriority w:val="99"/>
    <w:semiHidden/>
    <w:rsid w:val="00C70628"/>
    <w:rPr>
      <w:sz w:val="22"/>
      <w:szCs w:val="22"/>
      <w:lang w:eastAsia="en-US"/>
    </w:rPr>
  </w:style>
  <w:style w:type="paragraph" w:customStyle="1" w:styleId="Wyprbujstandardowy">
    <w:name w:val="Wypróbuj standardowy"/>
    <w:basedOn w:val="Normalny"/>
    <w:rsid w:val="00C70628"/>
    <w:pPr>
      <w:ind w:left="720" w:right="720"/>
    </w:pPr>
    <w:rPr>
      <w:i/>
      <w:color w:val="595959"/>
    </w:rPr>
  </w:style>
  <w:style w:type="paragraph" w:customStyle="1" w:styleId="Wyrnienieoferty">
    <w:name w:val="Wyróżnienie oferty"/>
    <w:basedOn w:val="Normalny"/>
    <w:next w:val="Normalny"/>
    <w:link w:val="Wyrnienieofertyznak"/>
    <w:qFormat/>
    <w:rsid w:val="00C70628"/>
    <w:rPr>
      <w:rFonts w:eastAsia="MS Mincho"/>
      <w:i/>
      <w:color w:val="3B3838"/>
    </w:rPr>
  </w:style>
  <w:style w:type="character" w:customStyle="1" w:styleId="ListanumerowanaZnak">
    <w:name w:val="Lista numerowana Znak"/>
    <w:link w:val="Listanumerowana"/>
    <w:uiPriority w:val="10"/>
    <w:rsid w:val="00C70628"/>
    <w:rPr>
      <w:rFonts w:ascii="Segoe UI" w:eastAsia="MS Mincho" w:hAnsi="Segoe UI" w:cs="Segoe UI"/>
      <w:color w:val="3B3838"/>
    </w:rPr>
  </w:style>
  <w:style w:type="character" w:customStyle="1" w:styleId="Wyrnienieofertyznak">
    <w:name w:val="Wyróżnienie oferty — znak"/>
    <w:link w:val="Wyrnienieoferty"/>
    <w:rsid w:val="00C70628"/>
    <w:rPr>
      <w:rFonts w:ascii="Segoe UI" w:eastAsia="MS Mincho" w:hAnsi="Segoe UI" w:cs="Segoe UI"/>
      <w:i/>
      <w:color w:val="3B3838"/>
    </w:rPr>
  </w:style>
  <w:style w:type="numbering" w:styleId="111111">
    <w:name w:val="Outline List 2"/>
    <w:basedOn w:val="Bezlisty"/>
    <w:uiPriority w:val="99"/>
    <w:semiHidden/>
    <w:unhideWhenUsed/>
    <w:rsid w:val="00C70628"/>
    <w:pPr>
      <w:numPr>
        <w:numId w:val="34"/>
      </w:numPr>
    </w:pPr>
  </w:style>
  <w:style w:type="numbering" w:styleId="1ai">
    <w:name w:val="Outline List 1"/>
    <w:basedOn w:val="Bezlisty"/>
    <w:uiPriority w:val="99"/>
    <w:semiHidden/>
    <w:unhideWhenUsed/>
    <w:rsid w:val="00C70628"/>
    <w:pPr>
      <w:numPr>
        <w:numId w:val="35"/>
      </w:numPr>
    </w:pPr>
  </w:style>
  <w:style w:type="numbering" w:styleId="Artykusekcja">
    <w:name w:val="Outline List 3"/>
    <w:basedOn w:val="Bezlisty"/>
    <w:uiPriority w:val="99"/>
    <w:semiHidden/>
    <w:unhideWhenUsed/>
    <w:rsid w:val="00C70628"/>
    <w:pPr>
      <w:numPr>
        <w:numId w:val="36"/>
      </w:numPr>
    </w:pPr>
  </w:style>
  <w:style w:type="character" w:customStyle="1" w:styleId="Hashtag1">
    <w:name w:val="Hashtag1"/>
    <w:uiPriority w:val="99"/>
    <w:semiHidden/>
    <w:unhideWhenUsed/>
    <w:rsid w:val="00C70628"/>
    <w:rPr>
      <w:rFonts w:ascii="Segoe UI" w:hAnsi="Segoe UI" w:cs="Segoe UI"/>
      <w:color w:val="2B579A"/>
      <w:shd w:val="clear" w:color="auto" w:fill="E1DFDD"/>
    </w:rPr>
  </w:style>
  <w:style w:type="character" w:customStyle="1" w:styleId="SmartHyperlink1">
    <w:name w:val="Smart Hyperlink1"/>
    <w:uiPriority w:val="99"/>
    <w:semiHidden/>
    <w:unhideWhenUsed/>
    <w:rsid w:val="00C70628"/>
    <w:rPr>
      <w:rFonts w:ascii="Segoe UI" w:hAnsi="Segoe UI" w:cs="Segoe UI"/>
      <w:u w:val="dotted"/>
    </w:rPr>
  </w:style>
  <w:style w:type="character" w:customStyle="1" w:styleId="fontstyle01">
    <w:name w:val="fontstyle01"/>
    <w:basedOn w:val="Domylnaczcionkaakapitu"/>
    <w:rsid w:val="005B7585"/>
    <w:rPr>
      <w:rFonts w:ascii="Corbel-Bold" w:hAnsi="Corbel-Bold" w:hint="default"/>
      <w:b/>
      <w:bCs/>
      <w:i w:val="0"/>
      <w:iCs w:val="0"/>
      <w:color w:val="990000"/>
      <w:sz w:val="48"/>
      <w:szCs w:val="48"/>
    </w:rPr>
  </w:style>
  <w:style w:type="character" w:customStyle="1" w:styleId="d2edcug0">
    <w:name w:val="d2edcug0"/>
    <w:basedOn w:val="Domylnaczcionkaakapitu"/>
    <w:rsid w:val="005B7585"/>
  </w:style>
  <w:style w:type="paragraph" w:customStyle="1" w:styleId="Styl1">
    <w:name w:val="Styl1"/>
    <w:basedOn w:val="Nagwek1"/>
    <w:autoRedefine/>
    <w:qFormat/>
    <w:rsid w:val="001C5DE9"/>
    <w:pPr>
      <w:pBdr>
        <w:bottom w:val="single" w:sz="8" w:space="1" w:color="2B579A"/>
      </w:pBdr>
    </w:pPr>
  </w:style>
  <w:style w:type="paragraph" w:customStyle="1" w:styleId="Styl2">
    <w:name w:val="Styl2"/>
    <w:basedOn w:val="Nagwek1"/>
    <w:next w:val="Styl1"/>
    <w:autoRedefine/>
    <w:qFormat/>
    <w:rsid w:val="00CD430C"/>
    <w:rPr>
      <w:lang w:bidi="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15387">
      <w:bodyDiv w:val="1"/>
      <w:marLeft w:val="0"/>
      <w:marRight w:val="0"/>
      <w:marTop w:val="0"/>
      <w:marBottom w:val="0"/>
      <w:divBdr>
        <w:top w:val="none" w:sz="0" w:space="0" w:color="auto"/>
        <w:left w:val="none" w:sz="0" w:space="0" w:color="auto"/>
        <w:bottom w:val="none" w:sz="0" w:space="0" w:color="auto"/>
        <w:right w:val="none" w:sz="0" w:space="0" w:color="auto"/>
      </w:divBdr>
    </w:div>
    <w:div w:id="134955146">
      <w:bodyDiv w:val="1"/>
      <w:marLeft w:val="0"/>
      <w:marRight w:val="0"/>
      <w:marTop w:val="0"/>
      <w:marBottom w:val="0"/>
      <w:divBdr>
        <w:top w:val="none" w:sz="0" w:space="0" w:color="auto"/>
        <w:left w:val="none" w:sz="0" w:space="0" w:color="auto"/>
        <w:bottom w:val="none" w:sz="0" w:space="0" w:color="auto"/>
        <w:right w:val="none" w:sz="0" w:space="0" w:color="auto"/>
      </w:divBdr>
    </w:div>
    <w:div w:id="361249840">
      <w:bodyDiv w:val="1"/>
      <w:marLeft w:val="0"/>
      <w:marRight w:val="0"/>
      <w:marTop w:val="0"/>
      <w:marBottom w:val="0"/>
      <w:divBdr>
        <w:top w:val="none" w:sz="0" w:space="0" w:color="auto"/>
        <w:left w:val="none" w:sz="0" w:space="0" w:color="auto"/>
        <w:bottom w:val="none" w:sz="0" w:space="0" w:color="auto"/>
        <w:right w:val="none" w:sz="0" w:space="0" w:color="auto"/>
      </w:divBdr>
    </w:div>
    <w:div w:id="1186167820">
      <w:bodyDiv w:val="1"/>
      <w:marLeft w:val="0"/>
      <w:marRight w:val="0"/>
      <w:marTop w:val="0"/>
      <w:marBottom w:val="0"/>
      <w:divBdr>
        <w:top w:val="none" w:sz="0" w:space="0" w:color="auto"/>
        <w:left w:val="none" w:sz="0" w:space="0" w:color="auto"/>
        <w:bottom w:val="none" w:sz="0" w:space="0" w:color="auto"/>
        <w:right w:val="none" w:sz="0" w:space="0" w:color="auto"/>
      </w:divBdr>
    </w:div>
    <w:div w:id="1206792808">
      <w:bodyDiv w:val="1"/>
      <w:marLeft w:val="0"/>
      <w:marRight w:val="0"/>
      <w:marTop w:val="0"/>
      <w:marBottom w:val="0"/>
      <w:divBdr>
        <w:top w:val="none" w:sz="0" w:space="0" w:color="auto"/>
        <w:left w:val="none" w:sz="0" w:space="0" w:color="auto"/>
        <w:bottom w:val="none" w:sz="0" w:space="0" w:color="auto"/>
        <w:right w:val="none" w:sz="0" w:space="0" w:color="auto"/>
      </w:divBdr>
    </w:div>
    <w:div w:id="1416169657">
      <w:bodyDiv w:val="1"/>
      <w:marLeft w:val="0"/>
      <w:marRight w:val="0"/>
      <w:marTop w:val="0"/>
      <w:marBottom w:val="0"/>
      <w:divBdr>
        <w:top w:val="none" w:sz="0" w:space="0" w:color="auto"/>
        <w:left w:val="none" w:sz="0" w:space="0" w:color="auto"/>
        <w:bottom w:val="none" w:sz="0" w:space="0" w:color="auto"/>
        <w:right w:val="none" w:sz="0" w:space="0" w:color="auto"/>
      </w:divBdr>
    </w:div>
    <w:div w:id="2064719165">
      <w:bodyDiv w:val="1"/>
      <w:marLeft w:val="0"/>
      <w:marRight w:val="0"/>
      <w:marTop w:val="0"/>
      <w:marBottom w:val="0"/>
      <w:divBdr>
        <w:top w:val="none" w:sz="0" w:space="0" w:color="auto"/>
        <w:left w:val="none" w:sz="0" w:space="0" w:color="auto"/>
        <w:bottom w:val="none" w:sz="0" w:space="0" w:color="auto"/>
        <w:right w:val="none" w:sz="0" w:space="0" w:color="auto"/>
      </w:divBdr>
    </w:div>
    <w:div w:id="20902244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guzy\AppData\Roaming\Microsoft\Szablony\Wstawianie%20pierwszego%20spisu%20tre&#347;ci%20&#8212;%20samouczek.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58F32D9B0DFD4F11B0D5D52AD6B4B3A1"/>
        <w:category>
          <w:name w:val="Ogólne"/>
          <w:gallery w:val="placeholder"/>
        </w:category>
        <w:types>
          <w:type w:val="bbPlcHdr"/>
        </w:types>
        <w:behaviors>
          <w:behavior w:val="content"/>
        </w:behaviors>
        <w:guid w:val="{29ECC61B-6A27-489A-9574-EBD44CF1CC3C}"/>
      </w:docPartPr>
      <w:docPartBody>
        <w:p w:rsidR="00A223EB" w:rsidRDefault="005D6B40" w:rsidP="005D6B40">
          <w:pPr>
            <w:pStyle w:val="58F32D9B0DFD4F11B0D5D52AD6B4B3A1"/>
          </w:pPr>
          <w:r>
            <w:rPr>
              <w:color w:val="5B9BD5" w:themeColor="accent1"/>
            </w:rPr>
            <w:t>[Tytuł dokumentu]</w:t>
          </w:r>
        </w:p>
      </w:docPartBody>
    </w:docPart>
    <w:docPart>
      <w:docPartPr>
        <w:name w:val="7DC5382A64CC48FB9AEB1417182BADA6"/>
        <w:category>
          <w:name w:val="Ogólne"/>
          <w:gallery w:val="placeholder"/>
        </w:category>
        <w:types>
          <w:type w:val="bbPlcHdr"/>
        </w:types>
        <w:behaviors>
          <w:behavior w:val="content"/>
        </w:behaviors>
        <w:guid w:val="{358F7621-AF58-4F86-A7CE-97B2F05F700A}"/>
      </w:docPartPr>
      <w:docPartBody>
        <w:p w:rsidR="00A223EB" w:rsidRDefault="005D6B40" w:rsidP="005D6B40">
          <w:pPr>
            <w:pStyle w:val="7DC5382A64CC48FB9AEB1417182BADA6"/>
          </w:pPr>
          <w:r>
            <w:t>[Nazwisko autora]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A0002AEF" w:usb1="4000207B" w:usb2="00000000" w:usb3="00000000" w:csb0="000001FF" w:csb1="00000000"/>
  </w:font>
  <w:font w:name="Segoe UI Light">
    <w:panose1 w:val="020B0502040204020203"/>
    <w:charset w:val="EE"/>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Yu Gothic UI"/>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AFF" w:usb1="C0007843" w:usb2="00000009" w:usb3="00000000" w:csb0="000001FF" w:csb1="00000000"/>
  </w:font>
  <w:font w:name="Consolas">
    <w:panose1 w:val="020B0609020204030204"/>
    <w:charset w:val="EE"/>
    <w:family w:val="modern"/>
    <w:pitch w:val="fixed"/>
    <w:sig w:usb0="E00006FF" w:usb1="0000FCFF" w:usb2="00000001" w:usb3="00000000" w:csb0="0000019F" w:csb1="00000000"/>
  </w:font>
  <w:font w:name="Corbel-Bold">
    <w:altName w:val="Times New Roman"/>
    <w:panose1 w:val="00000000000000000000"/>
    <w:charset w:val="00"/>
    <w:family w:val="roman"/>
    <w:notTrueType/>
    <w:pitch w:val="default"/>
  </w:font>
  <w:font w:name="Corbel">
    <w:panose1 w:val="020B0503020204020204"/>
    <w:charset w:val="EE"/>
    <w:family w:val="swiss"/>
    <w:pitch w:val="variable"/>
    <w:sig w:usb0="A00002EF" w:usb1="4000A44B" w:usb2="00000000" w:usb3="00000000" w:csb0="0000019F" w:csb1="00000000"/>
  </w:font>
  <w:font w:name="Calibri">
    <w:panose1 w:val="020F0502020204030204"/>
    <w:charset w:val="EE"/>
    <w:family w:val="swiss"/>
    <w:pitch w:val="variable"/>
    <w:sig w:usb0="E0002AFF" w:usb1="4000ACFF" w:usb2="00000001"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D6B40"/>
    <w:rsid w:val="005163BC"/>
    <w:rsid w:val="005D6B40"/>
    <w:rsid w:val="005E052E"/>
    <w:rsid w:val="005F3DA0"/>
    <w:rsid w:val="0099444B"/>
    <w:rsid w:val="00A223EB"/>
    <w:rsid w:val="00C860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pl-PL" w:eastAsia="pl-PL"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58F32D9B0DFD4F11B0D5D52AD6B4B3A1">
    <w:name w:val="58F32D9B0DFD4F11B0D5D52AD6B4B3A1"/>
    <w:rsid w:val="005D6B40"/>
  </w:style>
  <w:style w:type="paragraph" w:customStyle="1" w:styleId="7DC5382A64CC48FB9AEB1417182BADA6">
    <w:name w:val="7DC5382A64CC48FB9AEB1417182BADA6"/>
    <w:rsid w:val="005D6B40"/>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Win32TaT">
  <a:themeElements>
    <a:clrScheme name="Custom 1">
      <a:dk1>
        <a:sysClr val="windowText" lastClr="000000"/>
      </a:dk1>
      <a:lt1>
        <a:sysClr val="window" lastClr="FFFFFF"/>
      </a:lt1>
      <a:dk2>
        <a:srgbClr val="44546A"/>
      </a:dk2>
      <a:lt2>
        <a:srgbClr val="E7E6E6"/>
      </a:lt2>
      <a:accent1>
        <a:srgbClr val="5B9BD5"/>
      </a:accent1>
      <a:accent2>
        <a:srgbClr val="FF0000"/>
      </a:accent2>
      <a:accent3>
        <a:srgbClr val="A5A5A5"/>
      </a:accent3>
      <a:accent4>
        <a:srgbClr val="FFC000"/>
      </a:accent4>
      <a:accent5>
        <a:srgbClr val="2B579A"/>
      </a:accent5>
      <a:accent6>
        <a:srgbClr val="70AD47"/>
      </a:accent6>
      <a:hlink>
        <a:srgbClr val="0563C1"/>
      </a:hlink>
      <a:folHlink>
        <a:srgbClr val="954F72"/>
      </a:folHlink>
    </a:clrScheme>
    <a:fontScheme name="Custom 1">
      <a:majorFont>
        <a:latin typeface="Segoe UI Light"/>
        <a:ea typeface=""/>
        <a:cs typeface=""/>
      </a:majorFont>
      <a:minorFont>
        <a:latin typeface="Segoe U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0DA08AC-F11E-4E7E-B4EC-3F4E95664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Wstawianie pierwszego spisu treści — samouczek.dotx</Template>
  <TotalTime>0</TotalTime>
  <Pages>13</Pages>
  <Words>5539</Words>
  <Characters>33235</Characters>
  <Application>Microsoft Office Word</Application>
  <DocSecurity>0</DocSecurity>
  <Lines>276</Lines>
  <Paragraphs>77</Paragraphs>
  <ScaleCrop>false</ScaleCrop>
  <HeadingPairs>
    <vt:vector size="2" baseType="variant">
      <vt:variant>
        <vt:lpstr>Tytuł</vt:lpstr>
      </vt:variant>
      <vt:variant>
        <vt:i4>1</vt:i4>
      </vt:variant>
    </vt:vector>
  </HeadingPairs>
  <TitlesOfParts>
    <vt:vector size="1" baseType="lpstr">
      <vt:lpstr>Migracje artystyczne w XIX, XX i XXI wieku</vt:lpstr>
    </vt:vector>
  </TitlesOfParts>
  <Company/>
  <LinksUpToDate>false</LinksUpToDate>
  <CharactersWithSpaces>38697</CharactersWithSpaces>
  <SharedDoc>false</SharedDoc>
  <HLinks>
    <vt:vector size="6" baseType="variant">
      <vt:variant>
        <vt:i4>2228338</vt:i4>
      </vt:variant>
      <vt:variant>
        <vt:i4>0</vt:i4>
      </vt:variant>
      <vt:variant>
        <vt:i4>0</vt:i4>
      </vt:variant>
      <vt:variant>
        <vt:i4>5</vt:i4>
      </vt:variant>
      <vt:variant>
        <vt:lpwstr>https://go.microsoft.com/fwlink/?linkid=2027721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Migracje artystyczne w XIX, XX i XXI wieku</dc:title>
  <dc:subject/>
  <dc:creator/>
  <cp:keywords/>
  <dc:description/>
  <cp:lastModifiedBy/>
  <cp:revision>1</cp:revision>
  <dcterms:created xsi:type="dcterms:W3CDTF">2023-04-17T09:51:00Z</dcterms:created>
  <dcterms:modified xsi:type="dcterms:W3CDTF">2023-04-17T09:53:00Z</dcterms:modified>
</cp:coreProperties>
</file>