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418D" w:rsidRDefault="00627454">
      <w:pPr>
        <w:pStyle w:val="Podtytu"/>
        <w:rPr>
          <w:rFonts w:ascii="Corbel" w:hAnsi="Corbel"/>
          <w:sz w:val="72"/>
        </w:rPr>
      </w:pPr>
      <w:bookmarkStart w:id="0" w:name="_Hlk487785372"/>
      <w:bookmarkEnd w:id="0"/>
      <w:r w:rsidRPr="002048BE">
        <w:rPr>
          <w:rFonts w:ascii="Corbel" w:hAnsi="Corbel"/>
          <w:sz w:val="72"/>
        </w:rPr>
        <w:t xml:space="preserve">Migracje artystyczne </w:t>
      </w:r>
    </w:p>
    <w:p w:rsidR="00627454" w:rsidRDefault="00863E2E">
      <w:pPr>
        <w:pStyle w:val="Podtytu"/>
        <w:rPr>
          <w:rFonts w:ascii="Corbel" w:hAnsi="Corbel"/>
          <w:sz w:val="72"/>
        </w:rPr>
      </w:pPr>
      <w:r>
        <w:rPr>
          <w:rFonts w:ascii="Corbel" w:hAnsi="Corbel"/>
          <w:sz w:val="72"/>
        </w:rPr>
        <w:t>w</w:t>
      </w:r>
      <w:r w:rsidR="00B9418D">
        <w:rPr>
          <w:rFonts w:ascii="Corbel" w:hAnsi="Corbel"/>
          <w:sz w:val="72"/>
        </w:rPr>
        <w:t xml:space="preserve"> </w:t>
      </w:r>
      <w:r w:rsidR="00627454" w:rsidRPr="002048BE">
        <w:rPr>
          <w:rFonts w:ascii="Corbel" w:hAnsi="Corbel"/>
          <w:sz w:val="72"/>
        </w:rPr>
        <w:t>XIX, XX i XXI wie</w:t>
      </w:r>
      <w:r w:rsidR="00B9418D">
        <w:rPr>
          <w:rFonts w:ascii="Corbel" w:hAnsi="Corbel"/>
          <w:sz w:val="72"/>
        </w:rPr>
        <w:t>ku</w:t>
      </w:r>
    </w:p>
    <w:p w:rsidR="005C6D45" w:rsidRPr="00895090" w:rsidRDefault="00627454">
      <w:pPr>
        <w:pStyle w:val="Podtytu"/>
        <w:rPr>
          <w:noProof/>
        </w:rPr>
      </w:pPr>
      <w:r>
        <w:rPr>
          <w:noProof/>
          <w:lang w:bidi="pl-PL"/>
        </w:rPr>
        <w:t>Interdyscyplinarne seminarium IS PAN</w:t>
      </w:r>
    </w:p>
    <w:p w:rsidR="004F6481" w:rsidRDefault="004F6481" w:rsidP="00627454">
      <w:pPr>
        <w:rPr>
          <w:noProof/>
          <w:sz w:val="28"/>
          <w:lang w:bidi="pl-PL"/>
        </w:rPr>
      </w:pPr>
    </w:p>
    <w:p w:rsidR="00627454" w:rsidRPr="00586F1D" w:rsidRDefault="00627454" w:rsidP="00C417BF">
      <w:pPr>
        <w:jc w:val="both"/>
        <w:rPr>
          <w:rFonts w:cs="Calibri Light"/>
          <w:noProof/>
          <w:sz w:val="24"/>
          <w:szCs w:val="24"/>
          <w:lang w:bidi="pl-PL"/>
        </w:rPr>
      </w:pPr>
      <w:r w:rsidRPr="00586F1D">
        <w:rPr>
          <w:rFonts w:cs="Calibri Light"/>
          <w:noProof/>
          <w:sz w:val="24"/>
          <w:szCs w:val="24"/>
          <w:lang w:bidi="pl-PL"/>
        </w:rPr>
        <w:t>Celem spotkań jest wspólny namysł nad przepływ</w:t>
      </w:r>
      <w:r w:rsidR="004F6481" w:rsidRPr="00586F1D">
        <w:rPr>
          <w:rFonts w:cs="Calibri Light"/>
          <w:noProof/>
          <w:sz w:val="24"/>
          <w:szCs w:val="24"/>
          <w:lang w:bidi="pl-PL"/>
        </w:rPr>
        <w:t>ami i migracjami ludzi, dzieł i </w:t>
      </w:r>
      <w:r w:rsidRPr="00586F1D">
        <w:rPr>
          <w:rFonts w:cs="Calibri Light"/>
          <w:noProof/>
          <w:sz w:val="24"/>
          <w:szCs w:val="24"/>
          <w:lang w:bidi="pl-PL"/>
        </w:rPr>
        <w:t>idei, także poszukiwanie i wypróbowywanie różnych metod i języków badawczych, dzięki którym można o tego rodzaju zjawiskach rozmawiać w</w:t>
      </w:r>
      <w:r w:rsidR="004F6481" w:rsidRPr="00586F1D">
        <w:rPr>
          <w:rFonts w:cs="Calibri Light"/>
          <w:noProof/>
          <w:sz w:val="24"/>
          <w:szCs w:val="24"/>
          <w:lang w:bidi="pl-PL"/>
        </w:rPr>
        <w:t> </w:t>
      </w:r>
      <w:r w:rsidRPr="00586F1D">
        <w:rPr>
          <w:rFonts w:cs="Calibri Light"/>
          <w:noProof/>
          <w:sz w:val="24"/>
          <w:szCs w:val="24"/>
          <w:lang w:bidi="pl-PL"/>
        </w:rPr>
        <w:t xml:space="preserve">interdyscyplinarnym gronie. </w:t>
      </w:r>
    </w:p>
    <w:p w:rsidR="004F6481" w:rsidRPr="00586F1D" w:rsidRDefault="00627454" w:rsidP="00C417BF">
      <w:pPr>
        <w:jc w:val="both"/>
        <w:rPr>
          <w:rFonts w:cs="Calibri Light"/>
          <w:iCs/>
          <w:noProof/>
          <w:sz w:val="24"/>
          <w:szCs w:val="24"/>
          <w:lang w:val="it-IT" w:bidi="pl-PL"/>
        </w:rPr>
      </w:pPr>
      <w:r w:rsidRPr="00586F1D">
        <w:rPr>
          <w:rFonts w:cs="Calibri Light"/>
          <w:iCs/>
          <w:noProof/>
          <w:sz w:val="24"/>
          <w:szCs w:val="24"/>
          <w:lang w:val="it-IT" w:bidi="pl-PL"/>
        </w:rPr>
        <w:t xml:space="preserve">Spotkania koordynują: </w:t>
      </w:r>
    </w:p>
    <w:p w:rsidR="006B7A6C" w:rsidRPr="00586F1D" w:rsidRDefault="00627454" w:rsidP="00C417BF">
      <w:pPr>
        <w:jc w:val="both"/>
        <w:rPr>
          <w:rFonts w:cs="Calibri Light"/>
          <w:iCs/>
          <w:noProof/>
          <w:sz w:val="24"/>
          <w:szCs w:val="24"/>
          <w:lang w:val="it-IT" w:bidi="pl-PL"/>
        </w:rPr>
      </w:pPr>
      <w:r w:rsidRPr="00586F1D">
        <w:rPr>
          <w:rFonts w:cs="Calibri Light"/>
          <w:iCs/>
          <w:noProof/>
          <w:sz w:val="24"/>
          <w:szCs w:val="24"/>
          <w:lang w:val="it-IT" w:bidi="pl-PL"/>
        </w:rPr>
        <w:t>dr hab. Beata Bolesławska-Lewandowska, prof. IS PAN  i</w:t>
      </w:r>
      <w:r w:rsidR="00742056" w:rsidRPr="00586F1D">
        <w:rPr>
          <w:rFonts w:cs="Calibri Light"/>
          <w:iCs/>
          <w:noProof/>
          <w:sz w:val="24"/>
          <w:szCs w:val="24"/>
          <w:lang w:val="it-IT" w:bidi="pl-PL"/>
        </w:rPr>
        <w:t> </w:t>
      </w:r>
      <w:r w:rsidRPr="00586F1D">
        <w:rPr>
          <w:rFonts w:cs="Calibri Light"/>
          <w:iCs/>
          <w:noProof/>
          <w:sz w:val="24"/>
          <w:szCs w:val="24"/>
          <w:lang w:val="it-IT" w:bidi="pl-PL"/>
        </w:rPr>
        <w:t xml:space="preserve">dr hab. Jolanta Guzy-Pasiak </w:t>
      </w:r>
    </w:p>
    <w:p w:rsidR="00627454" w:rsidRPr="00586F1D" w:rsidRDefault="00627454" w:rsidP="00C417BF">
      <w:pPr>
        <w:jc w:val="both"/>
        <w:rPr>
          <w:rFonts w:cs="Calibri Light"/>
          <w:iCs/>
          <w:noProof/>
          <w:sz w:val="24"/>
          <w:szCs w:val="24"/>
          <w:lang w:val="it-IT" w:bidi="pl-PL"/>
        </w:rPr>
      </w:pPr>
      <w:r w:rsidRPr="00586F1D">
        <w:rPr>
          <w:rFonts w:cs="Calibri Light"/>
          <w:iCs/>
          <w:noProof/>
          <w:sz w:val="24"/>
          <w:szCs w:val="24"/>
          <w:lang w:val="it-IT" w:bidi="pl-PL"/>
        </w:rPr>
        <w:t>(Zakład Muzykologii</w:t>
      </w:r>
      <w:r w:rsidR="004F6481" w:rsidRPr="00586F1D">
        <w:rPr>
          <w:rFonts w:cs="Calibri Light"/>
          <w:iCs/>
          <w:noProof/>
          <w:sz w:val="24"/>
          <w:szCs w:val="24"/>
          <w:lang w:val="it-IT" w:bidi="pl-PL"/>
        </w:rPr>
        <w:t xml:space="preserve"> IS PAN</w:t>
      </w:r>
      <w:r w:rsidR="00C417BF" w:rsidRPr="00586F1D">
        <w:rPr>
          <w:rFonts w:cs="Calibri Light"/>
          <w:iCs/>
          <w:noProof/>
          <w:sz w:val="24"/>
          <w:szCs w:val="24"/>
          <w:lang w:val="it-IT" w:bidi="pl-PL"/>
        </w:rPr>
        <w:t xml:space="preserve"> – Muzyka polska za granicą)</w:t>
      </w:r>
    </w:p>
    <w:p w:rsidR="00617D63" w:rsidRPr="001D2EC3" w:rsidRDefault="00617D63">
      <w:pPr>
        <w:rPr>
          <w:rFonts w:cs="Calibri Light"/>
          <w:noProof/>
          <w:sz w:val="24"/>
          <w:szCs w:val="24"/>
        </w:rPr>
      </w:pPr>
    </w:p>
    <w:p w:rsidR="008D6A42" w:rsidRPr="000368F0" w:rsidRDefault="008D6A42" w:rsidP="001D2EC3">
      <w:pPr>
        <w:pStyle w:val="Wyprbujstandardowy"/>
        <w:spacing w:after="160"/>
        <w:ind w:left="0"/>
        <w:rPr>
          <w:rStyle w:val="Pogrubienie"/>
          <w:b w:val="0"/>
          <w:i w:val="0"/>
        </w:rPr>
      </w:pPr>
      <w:r w:rsidRPr="000368F0">
        <w:rPr>
          <w:rStyle w:val="Pogrubienie"/>
          <w:b w:val="0"/>
          <w:i w:val="0"/>
        </w:rPr>
        <w:t xml:space="preserve">Harmonogram spotkań </w:t>
      </w:r>
      <w:r w:rsidR="001D2EC3" w:rsidRPr="000368F0">
        <w:rPr>
          <w:rStyle w:val="Pogrubienie"/>
          <w:b w:val="0"/>
          <w:i w:val="0"/>
        </w:rPr>
        <w:t xml:space="preserve">ONLINE </w:t>
      </w:r>
      <w:r w:rsidRPr="000368F0">
        <w:rPr>
          <w:rStyle w:val="Pogrubienie"/>
          <w:b w:val="0"/>
          <w:i w:val="0"/>
        </w:rPr>
        <w:t>w roku akademickim 202</w:t>
      </w:r>
      <w:r w:rsidR="00FB16FA">
        <w:rPr>
          <w:rStyle w:val="Pogrubienie"/>
          <w:b w:val="0"/>
          <w:i w:val="0"/>
        </w:rPr>
        <w:t>4</w:t>
      </w:r>
      <w:r w:rsidRPr="000368F0">
        <w:rPr>
          <w:rStyle w:val="Pogrubienie"/>
          <w:b w:val="0"/>
          <w:i w:val="0"/>
        </w:rPr>
        <w:t>/202</w:t>
      </w:r>
      <w:r w:rsidR="00FB16FA">
        <w:rPr>
          <w:rStyle w:val="Pogrubienie"/>
          <w:b w:val="0"/>
          <w:i w:val="0"/>
        </w:rPr>
        <w:t>5</w:t>
      </w:r>
    </w:p>
    <w:p w:rsidR="00FB16FA" w:rsidRDefault="008D6A42" w:rsidP="008C2183">
      <w:pPr>
        <w:pStyle w:val="Wyprbujstandardowy"/>
        <w:numPr>
          <w:ilvl w:val="0"/>
          <w:numId w:val="39"/>
        </w:numPr>
        <w:spacing w:before="0" w:line="240" w:lineRule="auto"/>
        <w:rPr>
          <w:rFonts w:cs="Calibri Light"/>
          <w:bCs/>
          <w:i w:val="0"/>
          <w:iCs/>
          <w:noProof/>
          <w:sz w:val="24"/>
          <w:szCs w:val="24"/>
          <w:lang w:bidi="pl-PL"/>
        </w:rPr>
      </w:pPr>
      <w:r w:rsidRPr="00FB16FA">
        <w:rPr>
          <w:rFonts w:cs="Calibri Light"/>
          <w:bCs/>
          <w:i w:val="0"/>
          <w:iCs/>
          <w:noProof/>
          <w:sz w:val="24"/>
          <w:szCs w:val="24"/>
          <w:lang w:bidi="pl-PL"/>
        </w:rPr>
        <w:t>2</w:t>
      </w:r>
      <w:r w:rsidR="00FB16FA" w:rsidRPr="00FB16FA">
        <w:rPr>
          <w:rFonts w:cs="Calibri Light"/>
          <w:bCs/>
          <w:i w:val="0"/>
          <w:iCs/>
          <w:noProof/>
          <w:sz w:val="24"/>
          <w:szCs w:val="24"/>
          <w:lang w:bidi="pl-PL"/>
        </w:rPr>
        <w:t>9</w:t>
      </w:r>
      <w:r w:rsidRPr="00FB16FA">
        <w:rPr>
          <w:rFonts w:cs="Calibri Light"/>
          <w:bCs/>
          <w:i w:val="0"/>
          <w:iCs/>
          <w:noProof/>
          <w:sz w:val="24"/>
          <w:szCs w:val="24"/>
          <w:lang w:bidi="pl-PL"/>
        </w:rPr>
        <w:t xml:space="preserve"> października 202</w:t>
      </w:r>
      <w:r w:rsidR="00FB16FA" w:rsidRPr="00FB16FA">
        <w:rPr>
          <w:rFonts w:cs="Calibri Light"/>
          <w:bCs/>
          <w:i w:val="0"/>
          <w:iCs/>
          <w:noProof/>
          <w:sz w:val="24"/>
          <w:szCs w:val="24"/>
          <w:lang w:bidi="pl-PL"/>
        </w:rPr>
        <w:t>4</w:t>
      </w:r>
      <w:r w:rsidRPr="00FB16FA">
        <w:rPr>
          <w:rFonts w:cs="Calibri Light"/>
          <w:bCs/>
          <w:i w:val="0"/>
          <w:iCs/>
          <w:noProof/>
          <w:sz w:val="24"/>
          <w:szCs w:val="24"/>
          <w:lang w:bidi="pl-PL"/>
        </w:rPr>
        <w:t xml:space="preserve"> </w:t>
      </w:r>
    </w:p>
    <w:p w:rsidR="000A1CBE" w:rsidRPr="00FB16FA" w:rsidRDefault="008D6A42" w:rsidP="008C2183">
      <w:pPr>
        <w:pStyle w:val="Wyprbujstandardowy"/>
        <w:numPr>
          <w:ilvl w:val="0"/>
          <w:numId w:val="39"/>
        </w:numPr>
        <w:spacing w:before="0" w:line="240" w:lineRule="auto"/>
        <w:rPr>
          <w:rFonts w:cs="Calibri Light"/>
          <w:bCs/>
          <w:i w:val="0"/>
          <w:iCs/>
          <w:noProof/>
          <w:sz w:val="24"/>
          <w:szCs w:val="24"/>
          <w:lang w:bidi="pl-PL"/>
        </w:rPr>
      </w:pPr>
      <w:r w:rsidRPr="00FB16FA">
        <w:rPr>
          <w:rFonts w:cs="Calibri Light"/>
          <w:bCs/>
          <w:i w:val="0"/>
          <w:iCs/>
          <w:noProof/>
          <w:sz w:val="24"/>
          <w:szCs w:val="24"/>
          <w:lang w:bidi="pl-PL"/>
        </w:rPr>
        <w:t>2</w:t>
      </w:r>
      <w:r w:rsidR="00FB16FA">
        <w:rPr>
          <w:rFonts w:cs="Calibri Light"/>
          <w:bCs/>
          <w:i w:val="0"/>
          <w:iCs/>
          <w:noProof/>
          <w:sz w:val="24"/>
          <w:szCs w:val="24"/>
          <w:lang w:bidi="pl-PL"/>
        </w:rPr>
        <w:t>6</w:t>
      </w:r>
      <w:r w:rsidRPr="00FB16FA">
        <w:rPr>
          <w:rFonts w:cs="Calibri Light"/>
          <w:bCs/>
          <w:i w:val="0"/>
          <w:iCs/>
          <w:noProof/>
          <w:sz w:val="24"/>
          <w:szCs w:val="24"/>
          <w:lang w:bidi="pl-PL"/>
        </w:rPr>
        <w:t xml:space="preserve"> listopada 202</w:t>
      </w:r>
      <w:r w:rsidR="00FB16FA">
        <w:rPr>
          <w:rFonts w:cs="Calibri Light"/>
          <w:bCs/>
          <w:i w:val="0"/>
          <w:iCs/>
          <w:noProof/>
          <w:sz w:val="24"/>
          <w:szCs w:val="24"/>
          <w:lang w:bidi="pl-PL"/>
        </w:rPr>
        <w:t>4</w:t>
      </w:r>
    </w:p>
    <w:p w:rsidR="000A1CBE" w:rsidRPr="001D2EC3" w:rsidRDefault="00FB16FA" w:rsidP="001D2EC3">
      <w:pPr>
        <w:pStyle w:val="Wyprbujstandardowy"/>
        <w:numPr>
          <w:ilvl w:val="0"/>
          <w:numId w:val="39"/>
        </w:numPr>
        <w:spacing w:before="0" w:line="240" w:lineRule="auto"/>
        <w:rPr>
          <w:rFonts w:cs="Calibri Light"/>
          <w:bCs/>
          <w:i w:val="0"/>
          <w:iCs/>
          <w:noProof/>
          <w:sz w:val="24"/>
          <w:szCs w:val="24"/>
          <w:lang w:bidi="pl-PL"/>
        </w:rPr>
      </w:pPr>
      <w:r>
        <w:rPr>
          <w:rFonts w:cs="Calibri Light"/>
          <w:bCs/>
          <w:i w:val="0"/>
          <w:iCs/>
          <w:noProof/>
          <w:sz w:val="24"/>
          <w:szCs w:val="24"/>
          <w:lang w:bidi="pl-PL"/>
        </w:rPr>
        <w:t>28</w:t>
      </w:r>
      <w:r w:rsidR="008D6A42" w:rsidRPr="001D2EC3">
        <w:rPr>
          <w:rFonts w:cs="Calibri Light"/>
          <w:bCs/>
          <w:i w:val="0"/>
          <w:iCs/>
          <w:noProof/>
          <w:sz w:val="24"/>
          <w:szCs w:val="24"/>
          <w:lang w:bidi="pl-PL"/>
        </w:rPr>
        <w:t xml:space="preserve"> stycznia 202</w:t>
      </w:r>
      <w:r>
        <w:rPr>
          <w:rFonts w:cs="Calibri Light"/>
          <w:bCs/>
          <w:i w:val="0"/>
          <w:iCs/>
          <w:noProof/>
          <w:sz w:val="24"/>
          <w:szCs w:val="24"/>
          <w:lang w:bidi="pl-PL"/>
        </w:rPr>
        <w:t>5</w:t>
      </w:r>
    </w:p>
    <w:p w:rsidR="000A1CBE" w:rsidRPr="001D2EC3" w:rsidRDefault="008D6A42" w:rsidP="001D2EC3">
      <w:pPr>
        <w:pStyle w:val="Wyprbujstandardowy"/>
        <w:numPr>
          <w:ilvl w:val="0"/>
          <w:numId w:val="39"/>
        </w:numPr>
        <w:spacing w:before="0" w:line="240" w:lineRule="auto"/>
        <w:rPr>
          <w:rFonts w:cs="Calibri Light"/>
          <w:bCs/>
          <w:i w:val="0"/>
          <w:iCs/>
          <w:noProof/>
          <w:sz w:val="24"/>
          <w:szCs w:val="24"/>
          <w:lang w:bidi="pl-PL"/>
        </w:rPr>
      </w:pPr>
      <w:r w:rsidRPr="001D2EC3">
        <w:rPr>
          <w:rFonts w:cs="Calibri Light"/>
          <w:bCs/>
          <w:i w:val="0"/>
          <w:iCs/>
          <w:noProof/>
          <w:sz w:val="24"/>
          <w:szCs w:val="24"/>
          <w:lang w:bidi="pl-PL"/>
        </w:rPr>
        <w:t>2</w:t>
      </w:r>
      <w:r w:rsidR="00FB16FA">
        <w:rPr>
          <w:rFonts w:cs="Calibri Light"/>
          <w:bCs/>
          <w:i w:val="0"/>
          <w:iCs/>
          <w:noProof/>
          <w:sz w:val="24"/>
          <w:szCs w:val="24"/>
          <w:lang w:bidi="pl-PL"/>
        </w:rPr>
        <w:t>5</w:t>
      </w:r>
      <w:r w:rsidRPr="001D2EC3">
        <w:rPr>
          <w:rFonts w:cs="Calibri Light"/>
          <w:bCs/>
          <w:i w:val="0"/>
          <w:iCs/>
          <w:noProof/>
          <w:sz w:val="24"/>
          <w:szCs w:val="24"/>
          <w:lang w:bidi="pl-PL"/>
        </w:rPr>
        <w:t xml:space="preserve"> lutego 202</w:t>
      </w:r>
      <w:r w:rsidR="00FB16FA">
        <w:rPr>
          <w:rFonts w:cs="Calibri Light"/>
          <w:bCs/>
          <w:i w:val="0"/>
          <w:iCs/>
          <w:noProof/>
          <w:sz w:val="24"/>
          <w:szCs w:val="24"/>
          <w:lang w:bidi="pl-PL"/>
        </w:rPr>
        <w:t>5</w:t>
      </w:r>
    </w:p>
    <w:p w:rsidR="000A1CBE" w:rsidRDefault="008D6A42" w:rsidP="001D2EC3">
      <w:pPr>
        <w:pStyle w:val="Wyprbujstandardowy"/>
        <w:numPr>
          <w:ilvl w:val="0"/>
          <w:numId w:val="39"/>
        </w:numPr>
        <w:spacing w:before="0" w:line="240" w:lineRule="auto"/>
        <w:rPr>
          <w:rFonts w:cs="Calibri Light"/>
          <w:bCs/>
          <w:i w:val="0"/>
          <w:iCs/>
          <w:noProof/>
          <w:sz w:val="24"/>
          <w:szCs w:val="24"/>
          <w:lang w:bidi="pl-PL"/>
        </w:rPr>
      </w:pPr>
      <w:r w:rsidRPr="001D2EC3">
        <w:rPr>
          <w:rFonts w:cs="Calibri Light"/>
          <w:bCs/>
          <w:i w:val="0"/>
          <w:iCs/>
          <w:noProof/>
          <w:sz w:val="24"/>
          <w:szCs w:val="24"/>
          <w:lang w:bidi="pl-PL"/>
        </w:rPr>
        <w:t>2</w:t>
      </w:r>
      <w:r w:rsidR="00FB16FA">
        <w:rPr>
          <w:rFonts w:cs="Calibri Light"/>
          <w:bCs/>
          <w:i w:val="0"/>
          <w:iCs/>
          <w:noProof/>
          <w:sz w:val="24"/>
          <w:szCs w:val="24"/>
          <w:lang w:bidi="pl-PL"/>
        </w:rPr>
        <w:t>5</w:t>
      </w:r>
      <w:r w:rsidRPr="001D2EC3">
        <w:rPr>
          <w:rFonts w:cs="Calibri Light"/>
          <w:bCs/>
          <w:i w:val="0"/>
          <w:iCs/>
          <w:noProof/>
          <w:sz w:val="24"/>
          <w:szCs w:val="24"/>
          <w:lang w:bidi="pl-PL"/>
        </w:rPr>
        <w:t xml:space="preserve"> marca 202</w:t>
      </w:r>
      <w:r w:rsidR="00FB16FA">
        <w:rPr>
          <w:rFonts w:cs="Calibri Light"/>
          <w:bCs/>
          <w:i w:val="0"/>
          <w:iCs/>
          <w:noProof/>
          <w:sz w:val="24"/>
          <w:szCs w:val="24"/>
          <w:lang w:bidi="pl-PL"/>
        </w:rPr>
        <w:t>5</w:t>
      </w:r>
    </w:p>
    <w:p w:rsidR="000A1CBE" w:rsidRPr="001D2EC3" w:rsidRDefault="008D6A42" w:rsidP="001D2EC3">
      <w:pPr>
        <w:pStyle w:val="Wyprbujstandardowy"/>
        <w:numPr>
          <w:ilvl w:val="0"/>
          <w:numId w:val="39"/>
        </w:numPr>
        <w:spacing w:before="0" w:line="240" w:lineRule="auto"/>
        <w:rPr>
          <w:rFonts w:cs="Calibri Light"/>
          <w:bCs/>
          <w:i w:val="0"/>
          <w:iCs/>
          <w:noProof/>
          <w:sz w:val="24"/>
          <w:szCs w:val="24"/>
          <w:lang w:bidi="pl-PL"/>
        </w:rPr>
      </w:pPr>
      <w:r w:rsidRPr="001D2EC3">
        <w:rPr>
          <w:rFonts w:cs="Calibri Light"/>
          <w:bCs/>
          <w:i w:val="0"/>
          <w:iCs/>
          <w:noProof/>
          <w:sz w:val="24"/>
          <w:szCs w:val="24"/>
          <w:lang w:bidi="pl-PL"/>
        </w:rPr>
        <w:t>2</w:t>
      </w:r>
      <w:r w:rsidR="00FB16FA">
        <w:rPr>
          <w:rFonts w:cs="Calibri Light"/>
          <w:bCs/>
          <w:i w:val="0"/>
          <w:iCs/>
          <w:noProof/>
          <w:sz w:val="24"/>
          <w:szCs w:val="24"/>
          <w:lang w:bidi="pl-PL"/>
        </w:rPr>
        <w:t>7</w:t>
      </w:r>
      <w:r w:rsidRPr="001D2EC3">
        <w:rPr>
          <w:rFonts w:cs="Calibri Light"/>
          <w:bCs/>
          <w:i w:val="0"/>
          <w:iCs/>
          <w:noProof/>
          <w:sz w:val="24"/>
          <w:szCs w:val="24"/>
          <w:lang w:bidi="pl-PL"/>
        </w:rPr>
        <w:t xml:space="preserve"> maja 202</w:t>
      </w:r>
      <w:r w:rsidR="00FB16FA">
        <w:rPr>
          <w:rFonts w:cs="Calibri Light"/>
          <w:bCs/>
          <w:i w:val="0"/>
          <w:iCs/>
          <w:noProof/>
          <w:sz w:val="24"/>
          <w:szCs w:val="24"/>
          <w:lang w:bidi="pl-PL"/>
        </w:rPr>
        <w:t>5</w:t>
      </w:r>
    </w:p>
    <w:p w:rsidR="00753D34" w:rsidRPr="00586F1D" w:rsidRDefault="00753D34" w:rsidP="00263938">
      <w:pPr>
        <w:pStyle w:val="Wyprbujstandardowy"/>
        <w:rPr>
          <w:rFonts w:cs="Calibri Light"/>
          <w:noProof/>
          <w:sz w:val="24"/>
          <w:szCs w:val="24"/>
        </w:rPr>
      </w:pPr>
    </w:p>
    <w:p w:rsidR="00627454" w:rsidRPr="000368F0" w:rsidRDefault="00627454" w:rsidP="00586F1D">
      <w:pPr>
        <w:pStyle w:val="Nagwek6"/>
        <w:rPr>
          <w:rStyle w:val="Pogrubienie"/>
        </w:rPr>
      </w:pPr>
      <w:r w:rsidRPr="000368F0">
        <w:rPr>
          <w:rStyle w:val="Pogrubienie"/>
        </w:rPr>
        <w:t xml:space="preserve">Spis </w:t>
      </w:r>
      <w:r w:rsidR="00625976" w:rsidRPr="000368F0">
        <w:rPr>
          <w:rStyle w:val="Pogrubienie"/>
        </w:rPr>
        <w:t>tematów seminariów</w:t>
      </w:r>
    </w:p>
    <w:p w:rsidR="00A471FE" w:rsidRDefault="00627454">
      <w:pPr>
        <w:pStyle w:val="Spistreci2"/>
        <w:tabs>
          <w:tab w:val="right" w:leader="dot" w:pos="9016"/>
        </w:tabs>
        <w:rPr>
          <w:rFonts w:asciiTheme="minorHAnsi" w:eastAsiaTheme="minorEastAsia" w:hAnsiTheme="minorHAnsi" w:cstheme="minorBidi"/>
          <w:noProof/>
          <w:lang w:eastAsia="pl-PL"/>
        </w:rPr>
      </w:pPr>
      <w:r w:rsidRPr="001D2EC3">
        <w:rPr>
          <w:rFonts w:cs="Calibri Light"/>
          <w:noProof/>
          <w:color w:val="404040" w:themeColor="text1" w:themeTint="BF"/>
          <w:sz w:val="24"/>
          <w:szCs w:val="24"/>
        </w:rPr>
        <w:fldChar w:fldCharType="begin"/>
      </w:r>
      <w:r w:rsidRPr="001D2EC3">
        <w:rPr>
          <w:rFonts w:cs="Calibri Light"/>
          <w:color w:val="404040" w:themeColor="text1" w:themeTint="BF"/>
          <w:sz w:val="24"/>
          <w:szCs w:val="24"/>
        </w:rPr>
        <w:instrText xml:space="preserve"> TOC \o "1-3" \h \z \u </w:instrText>
      </w:r>
      <w:r w:rsidRPr="001D2EC3">
        <w:rPr>
          <w:rFonts w:cs="Calibri Light"/>
          <w:noProof/>
          <w:color w:val="404040" w:themeColor="text1" w:themeTint="BF"/>
          <w:sz w:val="24"/>
          <w:szCs w:val="24"/>
        </w:rPr>
        <w:fldChar w:fldCharType="separate"/>
      </w:r>
      <w:hyperlink w:anchor="_Toc178250008" w:history="1">
        <w:r w:rsidR="00A471FE" w:rsidRPr="00D46098">
          <w:rPr>
            <w:rStyle w:val="Hipercze"/>
            <w:noProof/>
          </w:rPr>
          <w:t>Beata Bolesławska-Lewandowska (IS PAN), Kompozytorzy polscy w kręgu emigracji politycznej po II wojnie światowej</w:t>
        </w:r>
        <w:r w:rsidR="00A471FE">
          <w:rPr>
            <w:noProof/>
            <w:webHidden/>
          </w:rPr>
          <w:tab/>
        </w:r>
        <w:r w:rsidR="00A471FE">
          <w:rPr>
            <w:noProof/>
            <w:webHidden/>
          </w:rPr>
          <w:fldChar w:fldCharType="begin"/>
        </w:r>
        <w:r w:rsidR="00A471FE">
          <w:rPr>
            <w:noProof/>
            <w:webHidden/>
          </w:rPr>
          <w:instrText xml:space="preserve"> PAGEREF _Toc178250008 \h </w:instrText>
        </w:r>
        <w:r w:rsidR="00A471FE">
          <w:rPr>
            <w:noProof/>
            <w:webHidden/>
          </w:rPr>
        </w:r>
        <w:r w:rsidR="00A471FE">
          <w:rPr>
            <w:noProof/>
            <w:webHidden/>
          </w:rPr>
          <w:fldChar w:fldCharType="separate"/>
        </w:r>
        <w:r w:rsidR="00A471FE">
          <w:rPr>
            <w:noProof/>
            <w:webHidden/>
          </w:rPr>
          <w:t>4</w:t>
        </w:r>
        <w:r w:rsidR="00A471FE">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09" w:history="1">
        <w:r w:rsidRPr="00D46098">
          <w:rPr>
            <w:rStyle w:val="Hipercze"/>
            <w:noProof/>
          </w:rPr>
          <w:t>Jolanta Guzy-Pasiak (IS PAN), Problemy w badaniach nad kompozytorami emigracyjnymi I połowy XX wieku</w:t>
        </w:r>
        <w:r>
          <w:rPr>
            <w:noProof/>
            <w:webHidden/>
          </w:rPr>
          <w:tab/>
        </w:r>
        <w:r>
          <w:rPr>
            <w:noProof/>
            <w:webHidden/>
          </w:rPr>
          <w:fldChar w:fldCharType="begin"/>
        </w:r>
        <w:r>
          <w:rPr>
            <w:noProof/>
            <w:webHidden/>
          </w:rPr>
          <w:instrText xml:space="preserve"> PAGEREF _Toc178250009 \h </w:instrText>
        </w:r>
        <w:r>
          <w:rPr>
            <w:noProof/>
            <w:webHidden/>
          </w:rPr>
        </w:r>
        <w:r>
          <w:rPr>
            <w:noProof/>
            <w:webHidden/>
          </w:rPr>
          <w:fldChar w:fldCharType="separate"/>
        </w:r>
        <w:r>
          <w:rPr>
            <w:noProof/>
            <w:webHidden/>
          </w:rPr>
          <w:t>4</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10" w:history="1">
        <w:r w:rsidRPr="00D46098">
          <w:rPr>
            <w:rStyle w:val="Hipercze"/>
            <w:noProof/>
          </w:rPr>
          <w:t>Ewa Fiuk (IS PAN), Filmowe przestrzenie i kody migracji</w:t>
        </w:r>
        <w:r>
          <w:rPr>
            <w:noProof/>
            <w:webHidden/>
          </w:rPr>
          <w:tab/>
        </w:r>
        <w:r>
          <w:rPr>
            <w:noProof/>
            <w:webHidden/>
          </w:rPr>
          <w:fldChar w:fldCharType="begin"/>
        </w:r>
        <w:r>
          <w:rPr>
            <w:noProof/>
            <w:webHidden/>
          </w:rPr>
          <w:instrText xml:space="preserve"> PAGEREF _Toc178250010 \h </w:instrText>
        </w:r>
        <w:r>
          <w:rPr>
            <w:noProof/>
            <w:webHidden/>
          </w:rPr>
        </w:r>
        <w:r>
          <w:rPr>
            <w:noProof/>
            <w:webHidden/>
          </w:rPr>
          <w:fldChar w:fldCharType="separate"/>
        </w:r>
        <w:r>
          <w:rPr>
            <w:noProof/>
            <w:webHidden/>
          </w:rPr>
          <w:t>4</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11" w:history="1">
        <w:r w:rsidRPr="00D46098">
          <w:rPr>
            <w:rStyle w:val="Hipercze"/>
            <w:noProof/>
          </w:rPr>
          <w:t>Joanna Kocemba-Żebrowska (IS PAN), Cudzoziemcy na wsi. Kolędowanie Teatru Węgajty</w:t>
        </w:r>
        <w:r>
          <w:rPr>
            <w:noProof/>
            <w:webHidden/>
          </w:rPr>
          <w:tab/>
        </w:r>
        <w:r>
          <w:rPr>
            <w:noProof/>
            <w:webHidden/>
          </w:rPr>
          <w:fldChar w:fldCharType="begin"/>
        </w:r>
        <w:r>
          <w:rPr>
            <w:noProof/>
            <w:webHidden/>
          </w:rPr>
          <w:instrText xml:space="preserve"> PAGEREF _Toc178250011 \h </w:instrText>
        </w:r>
        <w:r>
          <w:rPr>
            <w:noProof/>
            <w:webHidden/>
          </w:rPr>
        </w:r>
        <w:r>
          <w:rPr>
            <w:noProof/>
            <w:webHidden/>
          </w:rPr>
          <w:fldChar w:fldCharType="separate"/>
        </w:r>
        <w:r>
          <w:rPr>
            <w:noProof/>
            <w:webHidden/>
          </w:rPr>
          <w:t>5</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12" w:history="1">
        <w:r w:rsidRPr="00D46098">
          <w:rPr>
            <w:rStyle w:val="Hipercze"/>
            <w:noProof/>
          </w:rPr>
          <w:t>Karolina Łabowicz-Dymanus (IS PAN), Globalne kontakty w PRL-u. Wymiana artystyczna z tzw. Krajami Trzeciego Świata w latach 1950–tych</w:t>
        </w:r>
        <w:r>
          <w:rPr>
            <w:noProof/>
            <w:webHidden/>
          </w:rPr>
          <w:tab/>
        </w:r>
        <w:r>
          <w:rPr>
            <w:noProof/>
            <w:webHidden/>
          </w:rPr>
          <w:fldChar w:fldCharType="begin"/>
        </w:r>
        <w:r>
          <w:rPr>
            <w:noProof/>
            <w:webHidden/>
          </w:rPr>
          <w:instrText xml:space="preserve"> PAGEREF _Toc178250012 \h </w:instrText>
        </w:r>
        <w:r>
          <w:rPr>
            <w:noProof/>
            <w:webHidden/>
          </w:rPr>
        </w:r>
        <w:r>
          <w:rPr>
            <w:noProof/>
            <w:webHidden/>
          </w:rPr>
          <w:fldChar w:fldCharType="separate"/>
        </w:r>
        <w:r>
          <w:rPr>
            <w:noProof/>
            <w:webHidden/>
          </w:rPr>
          <w:t>6</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13" w:history="1">
        <w:r w:rsidRPr="00D46098">
          <w:rPr>
            <w:rStyle w:val="Hipercze"/>
            <w:noProof/>
          </w:rPr>
          <w:t xml:space="preserve">Izabela Kopania (IS PAN), </w:t>
        </w:r>
        <w:r w:rsidRPr="00D46098">
          <w:rPr>
            <w:rStyle w:val="Hipercze"/>
            <w:noProof/>
            <w:lang w:bidi="pl-PL"/>
          </w:rPr>
          <w:t xml:space="preserve">Zapożyczenia – reinterpretacje – </w:t>
        </w:r>
        <w:r w:rsidRPr="00D46098">
          <w:rPr>
            <w:rStyle w:val="Hipercze"/>
            <w:noProof/>
          </w:rPr>
          <w:t>hybrydyzacje</w:t>
        </w:r>
        <w:r w:rsidRPr="00D46098">
          <w:rPr>
            <w:rStyle w:val="Hipercze"/>
            <w:noProof/>
            <w:lang w:bidi="pl-PL"/>
          </w:rPr>
          <w:t xml:space="preserve">. Rzeczy w przestrzeni </w:t>
        </w:r>
        <w:r w:rsidRPr="00D46098">
          <w:rPr>
            <w:rStyle w:val="Hipercze"/>
            <w:noProof/>
          </w:rPr>
          <w:t>kontaktów</w:t>
        </w:r>
        <w:r w:rsidRPr="00D46098">
          <w:rPr>
            <w:rStyle w:val="Hipercze"/>
            <w:noProof/>
            <w:lang w:bidi="pl-PL"/>
          </w:rPr>
          <w:t xml:space="preserve"> między krajami europejskimi a krajami Dalekiego Wschodu w dobie nowożytnej</w:t>
        </w:r>
        <w:r>
          <w:rPr>
            <w:noProof/>
            <w:webHidden/>
          </w:rPr>
          <w:tab/>
        </w:r>
        <w:r>
          <w:rPr>
            <w:noProof/>
            <w:webHidden/>
          </w:rPr>
          <w:fldChar w:fldCharType="begin"/>
        </w:r>
        <w:r>
          <w:rPr>
            <w:noProof/>
            <w:webHidden/>
          </w:rPr>
          <w:instrText xml:space="preserve"> PAGEREF _Toc178250013 \h </w:instrText>
        </w:r>
        <w:r>
          <w:rPr>
            <w:noProof/>
            <w:webHidden/>
          </w:rPr>
        </w:r>
        <w:r>
          <w:rPr>
            <w:noProof/>
            <w:webHidden/>
          </w:rPr>
          <w:fldChar w:fldCharType="separate"/>
        </w:r>
        <w:r>
          <w:rPr>
            <w:noProof/>
            <w:webHidden/>
          </w:rPr>
          <w:t>6</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14" w:history="1">
        <w:r w:rsidRPr="00D46098">
          <w:rPr>
            <w:rStyle w:val="Hipercze"/>
            <w:noProof/>
          </w:rPr>
          <w:t>Magdalena Hasiuk-Świerzbińska (IS PAN), Wyprawy Teatru Węgajty 1986–2019 – spotkania teatralne na pograniczach</w:t>
        </w:r>
        <w:r>
          <w:rPr>
            <w:noProof/>
            <w:webHidden/>
          </w:rPr>
          <w:tab/>
        </w:r>
        <w:r>
          <w:rPr>
            <w:noProof/>
            <w:webHidden/>
          </w:rPr>
          <w:fldChar w:fldCharType="begin"/>
        </w:r>
        <w:r>
          <w:rPr>
            <w:noProof/>
            <w:webHidden/>
          </w:rPr>
          <w:instrText xml:space="preserve"> PAGEREF _Toc178250014 \h </w:instrText>
        </w:r>
        <w:r>
          <w:rPr>
            <w:noProof/>
            <w:webHidden/>
          </w:rPr>
        </w:r>
        <w:r>
          <w:rPr>
            <w:noProof/>
            <w:webHidden/>
          </w:rPr>
          <w:fldChar w:fldCharType="separate"/>
        </w:r>
        <w:r>
          <w:rPr>
            <w:noProof/>
            <w:webHidden/>
          </w:rPr>
          <w:t>7</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15" w:history="1">
        <w:r w:rsidRPr="00D46098">
          <w:rPr>
            <w:rStyle w:val="Hipercze"/>
            <w:noProof/>
          </w:rPr>
          <w:t>Jolanta Guzy-Pasiak (IS PAN), Beata Bolesławska-Lewandowska (IS PAN), Migracje spuścizn kompozytorów polskich</w:t>
        </w:r>
        <w:r>
          <w:rPr>
            <w:noProof/>
            <w:webHidden/>
          </w:rPr>
          <w:tab/>
        </w:r>
        <w:r>
          <w:rPr>
            <w:noProof/>
            <w:webHidden/>
          </w:rPr>
          <w:fldChar w:fldCharType="begin"/>
        </w:r>
        <w:r>
          <w:rPr>
            <w:noProof/>
            <w:webHidden/>
          </w:rPr>
          <w:instrText xml:space="preserve"> PAGEREF _Toc178250015 \h </w:instrText>
        </w:r>
        <w:r>
          <w:rPr>
            <w:noProof/>
            <w:webHidden/>
          </w:rPr>
        </w:r>
        <w:r>
          <w:rPr>
            <w:noProof/>
            <w:webHidden/>
          </w:rPr>
          <w:fldChar w:fldCharType="separate"/>
        </w:r>
        <w:r>
          <w:rPr>
            <w:noProof/>
            <w:webHidden/>
          </w:rPr>
          <w:t>8</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16" w:history="1">
        <w:r w:rsidRPr="00D46098">
          <w:rPr>
            <w:rStyle w:val="Hipercze"/>
            <w:noProof/>
          </w:rPr>
          <w:t>Weronika Grozdew-Kołacińska (IS PAN), Swoje = obce / obce = swoje? Śpiew jako wędrowiec, czyli o transferze, granicach, doświadczaniu i tożsamości z polsko-bułgarskiej perspektywy</w:t>
        </w:r>
        <w:r>
          <w:rPr>
            <w:noProof/>
            <w:webHidden/>
          </w:rPr>
          <w:tab/>
        </w:r>
        <w:r>
          <w:rPr>
            <w:noProof/>
            <w:webHidden/>
          </w:rPr>
          <w:fldChar w:fldCharType="begin"/>
        </w:r>
        <w:r>
          <w:rPr>
            <w:noProof/>
            <w:webHidden/>
          </w:rPr>
          <w:instrText xml:space="preserve"> PAGEREF _Toc178250016 \h </w:instrText>
        </w:r>
        <w:r>
          <w:rPr>
            <w:noProof/>
            <w:webHidden/>
          </w:rPr>
        </w:r>
        <w:r>
          <w:rPr>
            <w:noProof/>
            <w:webHidden/>
          </w:rPr>
          <w:fldChar w:fldCharType="separate"/>
        </w:r>
        <w:r>
          <w:rPr>
            <w:noProof/>
            <w:webHidden/>
          </w:rPr>
          <w:t>9</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17" w:history="1">
        <w:r w:rsidRPr="00D46098">
          <w:rPr>
            <w:rStyle w:val="Hipercze"/>
            <w:noProof/>
          </w:rPr>
          <w:t>Krystyna Berkan (IS PAN), Irena Lorentowiczówna (1908–1985). Polska scenografka w Paryżu</w:t>
        </w:r>
        <w:r>
          <w:rPr>
            <w:noProof/>
            <w:webHidden/>
          </w:rPr>
          <w:tab/>
        </w:r>
        <w:r>
          <w:rPr>
            <w:noProof/>
            <w:webHidden/>
          </w:rPr>
          <w:fldChar w:fldCharType="begin"/>
        </w:r>
        <w:r>
          <w:rPr>
            <w:noProof/>
            <w:webHidden/>
          </w:rPr>
          <w:instrText xml:space="preserve"> PAGEREF _Toc178250017 \h </w:instrText>
        </w:r>
        <w:r>
          <w:rPr>
            <w:noProof/>
            <w:webHidden/>
          </w:rPr>
        </w:r>
        <w:r>
          <w:rPr>
            <w:noProof/>
            <w:webHidden/>
          </w:rPr>
          <w:fldChar w:fldCharType="separate"/>
        </w:r>
        <w:r>
          <w:rPr>
            <w:noProof/>
            <w:webHidden/>
          </w:rPr>
          <w:t>9</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18" w:history="1">
        <w:r w:rsidRPr="00D46098">
          <w:rPr>
            <w:rStyle w:val="Hipercze"/>
            <w:noProof/>
          </w:rPr>
          <w:t>Anna Oleńska (IS PAN), Dorota Piramidowicz (IS PAN), „Jesteśmy tylko chwilą w trwaniu przedmiotów” – migracje, postrzeganie i zmiana znaczeń obiektów zabytkowych</w:t>
        </w:r>
        <w:r>
          <w:rPr>
            <w:noProof/>
            <w:webHidden/>
          </w:rPr>
          <w:tab/>
        </w:r>
        <w:r>
          <w:rPr>
            <w:noProof/>
            <w:webHidden/>
          </w:rPr>
          <w:fldChar w:fldCharType="begin"/>
        </w:r>
        <w:r>
          <w:rPr>
            <w:noProof/>
            <w:webHidden/>
          </w:rPr>
          <w:instrText xml:space="preserve"> PAGEREF _Toc178250018 \h </w:instrText>
        </w:r>
        <w:r>
          <w:rPr>
            <w:noProof/>
            <w:webHidden/>
          </w:rPr>
        </w:r>
        <w:r>
          <w:rPr>
            <w:noProof/>
            <w:webHidden/>
          </w:rPr>
          <w:fldChar w:fldCharType="separate"/>
        </w:r>
        <w:r>
          <w:rPr>
            <w:noProof/>
            <w:webHidden/>
          </w:rPr>
          <w:t>10</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19" w:history="1">
        <w:r w:rsidRPr="00D46098">
          <w:rPr>
            <w:rStyle w:val="Hipercze"/>
            <w:noProof/>
          </w:rPr>
          <w:t>Anna Straszewska (IS PAN), Drohobycz–Wiedeń–Nowy Jork. Żydowscy absolwenci wiedeńskiej Akademii i ich udział w rozprzestrzenianiu wzorów sztuki środkowoeuropejskiej</w:t>
        </w:r>
        <w:r>
          <w:rPr>
            <w:noProof/>
            <w:webHidden/>
          </w:rPr>
          <w:tab/>
        </w:r>
        <w:r>
          <w:rPr>
            <w:noProof/>
            <w:webHidden/>
          </w:rPr>
          <w:fldChar w:fldCharType="begin"/>
        </w:r>
        <w:r>
          <w:rPr>
            <w:noProof/>
            <w:webHidden/>
          </w:rPr>
          <w:instrText xml:space="preserve"> PAGEREF _Toc178250019 \h </w:instrText>
        </w:r>
        <w:r>
          <w:rPr>
            <w:noProof/>
            <w:webHidden/>
          </w:rPr>
        </w:r>
        <w:r>
          <w:rPr>
            <w:noProof/>
            <w:webHidden/>
          </w:rPr>
          <w:fldChar w:fldCharType="separate"/>
        </w:r>
        <w:r>
          <w:rPr>
            <w:noProof/>
            <w:webHidden/>
          </w:rPr>
          <w:t>11</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20" w:history="1">
        <w:r w:rsidRPr="00D46098">
          <w:rPr>
            <w:rStyle w:val="Hipercze"/>
            <w:noProof/>
          </w:rPr>
          <w:t>Arleta Nawrocka-Wysocka (IS PAN), Muzyka i migracje jako przedmiot badań etnomuzykologii w XX i XXI wieku</w:t>
        </w:r>
        <w:r>
          <w:rPr>
            <w:noProof/>
            <w:webHidden/>
          </w:rPr>
          <w:tab/>
        </w:r>
        <w:r>
          <w:rPr>
            <w:noProof/>
            <w:webHidden/>
          </w:rPr>
          <w:fldChar w:fldCharType="begin"/>
        </w:r>
        <w:r>
          <w:rPr>
            <w:noProof/>
            <w:webHidden/>
          </w:rPr>
          <w:instrText xml:space="preserve"> PAGEREF _Toc178250020 \h </w:instrText>
        </w:r>
        <w:r>
          <w:rPr>
            <w:noProof/>
            <w:webHidden/>
          </w:rPr>
        </w:r>
        <w:r>
          <w:rPr>
            <w:noProof/>
            <w:webHidden/>
          </w:rPr>
          <w:fldChar w:fldCharType="separate"/>
        </w:r>
        <w:r>
          <w:rPr>
            <w:noProof/>
            <w:webHidden/>
          </w:rPr>
          <w:t>11</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21" w:history="1">
        <w:r w:rsidRPr="00D46098">
          <w:rPr>
            <w:rStyle w:val="Hipercze"/>
            <w:noProof/>
          </w:rPr>
          <w:t xml:space="preserve">Michał Jaczyński (UJ), </w:t>
        </w:r>
        <w:r w:rsidRPr="00D46098">
          <w:rPr>
            <w:rStyle w:val="Hipercze"/>
            <w:noProof/>
            <w:lang w:val="it-IT"/>
          </w:rPr>
          <w:t>Muzyka żydowska w powszechnym życiu muzycznym Europy Środkowej w dwudziestoleciu międzywojennym</w:t>
        </w:r>
        <w:r>
          <w:rPr>
            <w:noProof/>
            <w:webHidden/>
          </w:rPr>
          <w:tab/>
        </w:r>
        <w:r>
          <w:rPr>
            <w:noProof/>
            <w:webHidden/>
          </w:rPr>
          <w:fldChar w:fldCharType="begin"/>
        </w:r>
        <w:r>
          <w:rPr>
            <w:noProof/>
            <w:webHidden/>
          </w:rPr>
          <w:instrText xml:space="preserve"> PAGEREF _Toc178250021 \h </w:instrText>
        </w:r>
        <w:r>
          <w:rPr>
            <w:noProof/>
            <w:webHidden/>
          </w:rPr>
        </w:r>
        <w:r>
          <w:rPr>
            <w:noProof/>
            <w:webHidden/>
          </w:rPr>
          <w:fldChar w:fldCharType="separate"/>
        </w:r>
        <w:r>
          <w:rPr>
            <w:noProof/>
            <w:webHidden/>
          </w:rPr>
          <w:t>12</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22" w:history="1">
        <w:r w:rsidRPr="00D46098">
          <w:rPr>
            <w:rStyle w:val="Hipercze"/>
            <w:noProof/>
          </w:rPr>
          <w:t xml:space="preserve">Karolina Kondracka (IS PAN), </w:t>
        </w:r>
        <w:r w:rsidRPr="00D46098">
          <w:rPr>
            <w:rStyle w:val="Hipercze"/>
            <w:noProof/>
            <w:lang w:val="it-IT"/>
          </w:rPr>
          <w:t>Muzyka Jakutów w relacjach polskich zesłańców na Syberię</w:t>
        </w:r>
        <w:r>
          <w:rPr>
            <w:noProof/>
            <w:webHidden/>
          </w:rPr>
          <w:tab/>
        </w:r>
        <w:r>
          <w:rPr>
            <w:noProof/>
            <w:webHidden/>
          </w:rPr>
          <w:fldChar w:fldCharType="begin"/>
        </w:r>
        <w:r>
          <w:rPr>
            <w:noProof/>
            <w:webHidden/>
          </w:rPr>
          <w:instrText xml:space="preserve"> PAGEREF _Toc178250022 \h </w:instrText>
        </w:r>
        <w:r>
          <w:rPr>
            <w:noProof/>
            <w:webHidden/>
          </w:rPr>
        </w:r>
        <w:r>
          <w:rPr>
            <w:noProof/>
            <w:webHidden/>
          </w:rPr>
          <w:fldChar w:fldCharType="separate"/>
        </w:r>
        <w:r>
          <w:rPr>
            <w:noProof/>
            <w:webHidden/>
          </w:rPr>
          <w:t>12</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23" w:history="1">
        <w:r w:rsidRPr="00D46098">
          <w:rPr>
            <w:rStyle w:val="Hipercze"/>
            <w:noProof/>
            <w:lang w:eastAsia="pl-PL"/>
          </w:rPr>
          <w:t>Michał Piekarski (IHN PAN), Konrad Zawiłowski i Julian Pulikowski – dwie drogi kariery po uzyskaniu dyplomu z muzykologii na Uniwersytecie Wiedeńskim</w:t>
        </w:r>
        <w:r>
          <w:rPr>
            <w:noProof/>
            <w:webHidden/>
          </w:rPr>
          <w:tab/>
        </w:r>
        <w:r>
          <w:rPr>
            <w:noProof/>
            <w:webHidden/>
          </w:rPr>
          <w:fldChar w:fldCharType="begin"/>
        </w:r>
        <w:r>
          <w:rPr>
            <w:noProof/>
            <w:webHidden/>
          </w:rPr>
          <w:instrText xml:space="preserve"> PAGEREF _Toc178250023 \h </w:instrText>
        </w:r>
        <w:r>
          <w:rPr>
            <w:noProof/>
            <w:webHidden/>
          </w:rPr>
        </w:r>
        <w:r>
          <w:rPr>
            <w:noProof/>
            <w:webHidden/>
          </w:rPr>
          <w:fldChar w:fldCharType="separate"/>
        </w:r>
        <w:r>
          <w:rPr>
            <w:noProof/>
            <w:webHidden/>
          </w:rPr>
          <w:t>13</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24" w:history="1">
        <w:r w:rsidRPr="00D46098">
          <w:rPr>
            <w:rStyle w:val="Hipercze"/>
            <w:noProof/>
            <w:lang w:eastAsia="pl-PL"/>
          </w:rPr>
          <w:t>Barbara Mielcarek-Krzyżanowska (AM Bydgoszcz), Między Polską a Francją – działalność Marii Modrakowskiej</w:t>
        </w:r>
        <w:r>
          <w:rPr>
            <w:noProof/>
            <w:webHidden/>
          </w:rPr>
          <w:tab/>
        </w:r>
        <w:r>
          <w:rPr>
            <w:noProof/>
            <w:webHidden/>
          </w:rPr>
          <w:fldChar w:fldCharType="begin"/>
        </w:r>
        <w:r>
          <w:rPr>
            <w:noProof/>
            <w:webHidden/>
          </w:rPr>
          <w:instrText xml:space="preserve"> PAGEREF _Toc178250024 \h </w:instrText>
        </w:r>
        <w:r>
          <w:rPr>
            <w:noProof/>
            <w:webHidden/>
          </w:rPr>
        </w:r>
        <w:r>
          <w:rPr>
            <w:noProof/>
            <w:webHidden/>
          </w:rPr>
          <w:fldChar w:fldCharType="separate"/>
        </w:r>
        <w:r>
          <w:rPr>
            <w:noProof/>
            <w:webHidden/>
          </w:rPr>
          <w:t>13</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25" w:history="1">
        <w:r w:rsidRPr="00D46098">
          <w:rPr>
            <w:rStyle w:val="Hipercze"/>
            <w:noProof/>
            <w:lang w:eastAsia="pl-PL"/>
          </w:rPr>
          <w:t>Małgorzata Sieradz (IS PAN), Pęd do wiedzy. Zagraniczny uniwersytet jako wybór czy konieczność</w:t>
        </w:r>
        <w:r>
          <w:rPr>
            <w:noProof/>
            <w:webHidden/>
          </w:rPr>
          <w:tab/>
        </w:r>
        <w:r>
          <w:rPr>
            <w:noProof/>
            <w:webHidden/>
          </w:rPr>
          <w:fldChar w:fldCharType="begin"/>
        </w:r>
        <w:r>
          <w:rPr>
            <w:noProof/>
            <w:webHidden/>
          </w:rPr>
          <w:instrText xml:space="preserve"> PAGEREF _Toc178250025 \h </w:instrText>
        </w:r>
        <w:r>
          <w:rPr>
            <w:noProof/>
            <w:webHidden/>
          </w:rPr>
        </w:r>
        <w:r>
          <w:rPr>
            <w:noProof/>
            <w:webHidden/>
          </w:rPr>
          <w:fldChar w:fldCharType="separate"/>
        </w:r>
        <w:r>
          <w:rPr>
            <w:noProof/>
            <w:webHidden/>
          </w:rPr>
          <w:t>14</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26" w:history="1">
        <w:r w:rsidRPr="00D46098">
          <w:rPr>
            <w:rStyle w:val="Hipercze"/>
            <w:noProof/>
            <w:lang w:eastAsia="pl-PL"/>
          </w:rPr>
          <w:t>Piotr Jamski (IS PAN), Wędrowni Ludwisarze i mobilne dzwony</w:t>
        </w:r>
        <w:r>
          <w:rPr>
            <w:noProof/>
            <w:webHidden/>
          </w:rPr>
          <w:tab/>
        </w:r>
        <w:r>
          <w:rPr>
            <w:noProof/>
            <w:webHidden/>
          </w:rPr>
          <w:fldChar w:fldCharType="begin"/>
        </w:r>
        <w:r>
          <w:rPr>
            <w:noProof/>
            <w:webHidden/>
          </w:rPr>
          <w:instrText xml:space="preserve"> PAGEREF _Toc178250026 \h </w:instrText>
        </w:r>
        <w:r>
          <w:rPr>
            <w:noProof/>
            <w:webHidden/>
          </w:rPr>
        </w:r>
        <w:r>
          <w:rPr>
            <w:noProof/>
            <w:webHidden/>
          </w:rPr>
          <w:fldChar w:fldCharType="separate"/>
        </w:r>
        <w:r>
          <w:rPr>
            <w:noProof/>
            <w:webHidden/>
          </w:rPr>
          <w:t>15</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27" w:history="1">
        <w:r w:rsidRPr="00D46098">
          <w:rPr>
            <w:rStyle w:val="Hipercze"/>
            <w:noProof/>
            <w:lang w:eastAsia="pl-PL"/>
          </w:rPr>
          <w:t>Łukasz Smoluch (UAM), Muzyczne performanse jako narzędzie negocjowania tożsamości w polskich społecznościach poza granicami kraju</w:t>
        </w:r>
        <w:r>
          <w:rPr>
            <w:noProof/>
            <w:webHidden/>
          </w:rPr>
          <w:tab/>
        </w:r>
        <w:r>
          <w:rPr>
            <w:noProof/>
            <w:webHidden/>
          </w:rPr>
          <w:fldChar w:fldCharType="begin"/>
        </w:r>
        <w:r>
          <w:rPr>
            <w:noProof/>
            <w:webHidden/>
          </w:rPr>
          <w:instrText xml:space="preserve"> PAGEREF _Toc178250027 \h </w:instrText>
        </w:r>
        <w:r>
          <w:rPr>
            <w:noProof/>
            <w:webHidden/>
          </w:rPr>
        </w:r>
        <w:r>
          <w:rPr>
            <w:noProof/>
            <w:webHidden/>
          </w:rPr>
          <w:fldChar w:fldCharType="separate"/>
        </w:r>
        <w:r>
          <w:rPr>
            <w:noProof/>
            <w:webHidden/>
          </w:rPr>
          <w:t>15</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28" w:history="1">
        <w:r w:rsidRPr="00D46098">
          <w:rPr>
            <w:rStyle w:val="Hipercze"/>
            <w:noProof/>
          </w:rPr>
          <w:t>Beata Bolesławska-Lewandowska (IS PAN), Andrzej Panufnik w kręgu kultury brytyjskiej</w:t>
        </w:r>
        <w:r>
          <w:rPr>
            <w:noProof/>
            <w:webHidden/>
          </w:rPr>
          <w:tab/>
        </w:r>
        <w:r>
          <w:rPr>
            <w:noProof/>
            <w:webHidden/>
          </w:rPr>
          <w:fldChar w:fldCharType="begin"/>
        </w:r>
        <w:r>
          <w:rPr>
            <w:noProof/>
            <w:webHidden/>
          </w:rPr>
          <w:instrText xml:space="preserve"> PAGEREF _Toc178250028 \h </w:instrText>
        </w:r>
        <w:r>
          <w:rPr>
            <w:noProof/>
            <w:webHidden/>
          </w:rPr>
        </w:r>
        <w:r>
          <w:rPr>
            <w:noProof/>
            <w:webHidden/>
          </w:rPr>
          <w:fldChar w:fldCharType="separate"/>
        </w:r>
        <w:r>
          <w:rPr>
            <w:noProof/>
            <w:webHidden/>
          </w:rPr>
          <w:t>16</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29" w:history="1">
        <w:r w:rsidRPr="00D46098">
          <w:rPr>
            <w:rStyle w:val="Hipercze"/>
            <w:noProof/>
          </w:rPr>
          <w:t>Dorota Piramidowicz (IS PAN), Zabytek - artefakt - dzieło sztuki</w:t>
        </w:r>
        <w:r>
          <w:rPr>
            <w:noProof/>
            <w:webHidden/>
          </w:rPr>
          <w:tab/>
        </w:r>
        <w:r>
          <w:rPr>
            <w:noProof/>
            <w:webHidden/>
          </w:rPr>
          <w:fldChar w:fldCharType="begin"/>
        </w:r>
        <w:r>
          <w:rPr>
            <w:noProof/>
            <w:webHidden/>
          </w:rPr>
          <w:instrText xml:space="preserve"> PAGEREF _Toc178250029 \h </w:instrText>
        </w:r>
        <w:r>
          <w:rPr>
            <w:noProof/>
            <w:webHidden/>
          </w:rPr>
        </w:r>
        <w:r>
          <w:rPr>
            <w:noProof/>
            <w:webHidden/>
          </w:rPr>
          <w:fldChar w:fldCharType="separate"/>
        </w:r>
        <w:r>
          <w:rPr>
            <w:noProof/>
            <w:webHidden/>
          </w:rPr>
          <w:t>16</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30" w:history="1">
        <w:r w:rsidRPr="00D46098">
          <w:rPr>
            <w:rStyle w:val="Hipercze"/>
            <w:noProof/>
          </w:rPr>
          <w:t>Prof. Lisa Cooper Vest (University of Southern California, Los Angeles), Krzysztof Penderecki’s 'Threnody to the Victims of Hiroshima' and Canon Construction in the Late Twentieth Century</w:t>
        </w:r>
        <w:r>
          <w:rPr>
            <w:noProof/>
            <w:webHidden/>
          </w:rPr>
          <w:tab/>
        </w:r>
        <w:r>
          <w:rPr>
            <w:noProof/>
            <w:webHidden/>
          </w:rPr>
          <w:fldChar w:fldCharType="begin"/>
        </w:r>
        <w:r>
          <w:rPr>
            <w:noProof/>
            <w:webHidden/>
          </w:rPr>
          <w:instrText xml:space="preserve"> PAGEREF _Toc178250030 \h </w:instrText>
        </w:r>
        <w:r>
          <w:rPr>
            <w:noProof/>
            <w:webHidden/>
          </w:rPr>
        </w:r>
        <w:r>
          <w:rPr>
            <w:noProof/>
            <w:webHidden/>
          </w:rPr>
          <w:fldChar w:fldCharType="separate"/>
        </w:r>
        <w:r>
          <w:rPr>
            <w:noProof/>
            <w:webHidden/>
          </w:rPr>
          <w:t>17</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31" w:history="1">
        <w:r w:rsidRPr="00D46098">
          <w:rPr>
            <w:rStyle w:val="Hipercze"/>
            <w:noProof/>
          </w:rPr>
          <w:t>Joanna Szymajda (IS PAN),</w:t>
        </w:r>
        <w:r w:rsidRPr="00D46098">
          <w:rPr>
            <w:rStyle w:val="Hipercze"/>
            <w:iCs/>
            <w:noProof/>
          </w:rPr>
          <w:t xml:space="preserve"> </w:t>
        </w:r>
        <w:r w:rsidRPr="00D46098">
          <w:rPr>
            <w:rStyle w:val="Hipercze"/>
            <w:noProof/>
          </w:rPr>
          <w:t>Migracje idei i ciał – transnarodowe ścieżki tańca współczesnego</w:t>
        </w:r>
        <w:r>
          <w:rPr>
            <w:noProof/>
            <w:webHidden/>
          </w:rPr>
          <w:tab/>
        </w:r>
        <w:r>
          <w:rPr>
            <w:noProof/>
            <w:webHidden/>
          </w:rPr>
          <w:fldChar w:fldCharType="begin"/>
        </w:r>
        <w:r>
          <w:rPr>
            <w:noProof/>
            <w:webHidden/>
          </w:rPr>
          <w:instrText xml:space="preserve"> PAGEREF _Toc178250031 \h </w:instrText>
        </w:r>
        <w:r>
          <w:rPr>
            <w:noProof/>
            <w:webHidden/>
          </w:rPr>
        </w:r>
        <w:r>
          <w:rPr>
            <w:noProof/>
            <w:webHidden/>
          </w:rPr>
          <w:fldChar w:fldCharType="separate"/>
        </w:r>
        <w:r>
          <w:rPr>
            <w:noProof/>
            <w:webHidden/>
          </w:rPr>
          <w:t>17</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32" w:history="1">
        <w:r w:rsidRPr="00D46098">
          <w:rPr>
            <w:rStyle w:val="Hipercze"/>
            <w:noProof/>
          </w:rPr>
          <w:t>Iwona Lindstedt (UW), Polska muzyka filmowa z lat 1930–1939. Twórcy i zjawiska</w:t>
        </w:r>
        <w:r>
          <w:rPr>
            <w:noProof/>
            <w:webHidden/>
          </w:rPr>
          <w:tab/>
        </w:r>
        <w:r>
          <w:rPr>
            <w:noProof/>
            <w:webHidden/>
          </w:rPr>
          <w:fldChar w:fldCharType="begin"/>
        </w:r>
        <w:r>
          <w:rPr>
            <w:noProof/>
            <w:webHidden/>
          </w:rPr>
          <w:instrText xml:space="preserve"> PAGEREF _Toc178250032 \h </w:instrText>
        </w:r>
        <w:r>
          <w:rPr>
            <w:noProof/>
            <w:webHidden/>
          </w:rPr>
        </w:r>
        <w:r>
          <w:rPr>
            <w:noProof/>
            <w:webHidden/>
          </w:rPr>
          <w:fldChar w:fldCharType="separate"/>
        </w:r>
        <w:r>
          <w:rPr>
            <w:noProof/>
            <w:webHidden/>
          </w:rPr>
          <w:t>18</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33" w:history="1">
        <w:r w:rsidRPr="00D46098">
          <w:rPr>
            <w:rStyle w:val="Hipercze"/>
            <w:noProof/>
            <w:shd w:val="clear" w:color="auto" w:fill="FFFFFF"/>
          </w:rPr>
          <w:t>Mikołaj Nowak-Rogoziński, O zaletach i wadach emigracji. Malarstwo Józefa Czapskiego</w:t>
        </w:r>
        <w:r>
          <w:rPr>
            <w:noProof/>
            <w:webHidden/>
          </w:rPr>
          <w:tab/>
        </w:r>
        <w:r>
          <w:rPr>
            <w:noProof/>
            <w:webHidden/>
          </w:rPr>
          <w:fldChar w:fldCharType="begin"/>
        </w:r>
        <w:r>
          <w:rPr>
            <w:noProof/>
            <w:webHidden/>
          </w:rPr>
          <w:instrText xml:space="preserve"> PAGEREF _Toc178250033 \h </w:instrText>
        </w:r>
        <w:r>
          <w:rPr>
            <w:noProof/>
            <w:webHidden/>
          </w:rPr>
        </w:r>
        <w:r>
          <w:rPr>
            <w:noProof/>
            <w:webHidden/>
          </w:rPr>
          <w:fldChar w:fldCharType="separate"/>
        </w:r>
        <w:r>
          <w:rPr>
            <w:noProof/>
            <w:webHidden/>
          </w:rPr>
          <w:t>18</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34" w:history="1">
        <w:r w:rsidRPr="00D46098">
          <w:rPr>
            <w:rStyle w:val="Hipercze"/>
            <w:noProof/>
            <w:shd w:val="clear" w:color="auto" w:fill="FFFFFF"/>
          </w:rPr>
          <w:t xml:space="preserve">Przemysław Strożek (IS PAN), </w:t>
        </w:r>
        <w:r w:rsidRPr="00D46098">
          <w:rPr>
            <w:rStyle w:val="Hipercze"/>
            <w:i/>
            <w:iCs/>
            <w:noProof/>
            <w:shd w:val="clear" w:color="auto" w:fill="FFFFFF"/>
          </w:rPr>
          <w:t>Sny, które można kupić za pieniądze (1947), </w:t>
        </w:r>
        <w:r w:rsidRPr="00D46098">
          <w:rPr>
            <w:rStyle w:val="Hipercze"/>
            <w:noProof/>
            <w:shd w:val="clear" w:color="auto" w:fill="FFFFFF"/>
          </w:rPr>
          <w:t>czyli „archiwum awangardy” na emigracji</w:t>
        </w:r>
        <w:r>
          <w:rPr>
            <w:noProof/>
            <w:webHidden/>
          </w:rPr>
          <w:tab/>
        </w:r>
        <w:r>
          <w:rPr>
            <w:noProof/>
            <w:webHidden/>
          </w:rPr>
          <w:fldChar w:fldCharType="begin"/>
        </w:r>
        <w:r>
          <w:rPr>
            <w:noProof/>
            <w:webHidden/>
          </w:rPr>
          <w:instrText xml:space="preserve"> PAGEREF _Toc178250034 \h </w:instrText>
        </w:r>
        <w:r>
          <w:rPr>
            <w:noProof/>
            <w:webHidden/>
          </w:rPr>
        </w:r>
        <w:r>
          <w:rPr>
            <w:noProof/>
            <w:webHidden/>
          </w:rPr>
          <w:fldChar w:fldCharType="separate"/>
        </w:r>
        <w:r>
          <w:rPr>
            <w:noProof/>
            <w:webHidden/>
          </w:rPr>
          <w:t>19</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35" w:history="1">
        <w:r w:rsidRPr="00D46098">
          <w:rPr>
            <w:rStyle w:val="Hipercze"/>
            <w:noProof/>
          </w:rPr>
          <w:t xml:space="preserve">Spotkanie z autorami książki </w:t>
        </w:r>
        <w:r w:rsidRPr="00D46098">
          <w:rPr>
            <w:rStyle w:val="Hipercze"/>
            <w:i/>
            <w:noProof/>
          </w:rPr>
          <w:t>Architekt Aleksander Szymkiewicz (1858-1907)</w:t>
        </w:r>
        <w:r w:rsidRPr="00D46098">
          <w:rPr>
            <w:rStyle w:val="Hipercze"/>
            <w:noProof/>
          </w:rPr>
          <w:t> – </w:t>
        </w:r>
        <w:r w:rsidRPr="00D46098">
          <w:rPr>
            <w:rStyle w:val="Hipercze"/>
            <w:i/>
            <w:noProof/>
          </w:rPr>
          <w:t>szkic do biografii</w:t>
        </w:r>
        <w:r w:rsidRPr="00D46098">
          <w:rPr>
            <w:rStyle w:val="Hipercze"/>
            <w:noProof/>
          </w:rPr>
          <w:t>: Piotrem Jamskim, Zbigniewem Michalczykiem i Marcinem Zglińskim</w:t>
        </w:r>
        <w:r>
          <w:rPr>
            <w:noProof/>
            <w:webHidden/>
          </w:rPr>
          <w:tab/>
        </w:r>
        <w:r>
          <w:rPr>
            <w:noProof/>
            <w:webHidden/>
          </w:rPr>
          <w:fldChar w:fldCharType="begin"/>
        </w:r>
        <w:r>
          <w:rPr>
            <w:noProof/>
            <w:webHidden/>
          </w:rPr>
          <w:instrText xml:space="preserve"> PAGEREF _Toc178250035 \h </w:instrText>
        </w:r>
        <w:r>
          <w:rPr>
            <w:noProof/>
            <w:webHidden/>
          </w:rPr>
        </w:r>
        <w:r>
          <w:rPr>
            <w:noProof/>
            <w:webHidden/>
          </w:rPr>
          <w:fldChar w:fldCharType="separate"/>
        </w:r>
        <w:r>
          <w:rPr>
            <w:noProof/>
            <w:webHidden/>
          </w:rPr>
          <w:t>19</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36" w:history="1">
        <w:r w:rsidRPr="00D46098">
          <w:rPr>
            <w:rStyle w:val="Hipercze"/>
            <w:noProof/>
          </w:rPr>
          <w:t xml:space="preserve">Jolanta Guzy-Pasiak (IS PAN), </w:t>
        </w:r>
        <w:r w:rsidRPr="00D46098">
          <w:rPr>
            <w:rStyle w:val="Hipercze"/>
            <w:i/>
            <w:noProof/>
          </w:rPr>
          <w:t>Polscy kompozytorzy i Międzynarodowe Towarzystwo Muzyki Współczesnej w dwudziestoleciu międzywojennym</w:t>
        </w:r>
        <w:r>
          <w:rPr>
            <w:noProof/>
            <w:webHidden/>
          </w:rPr>
          <w:tab/>
        </w:r>
        <w:r>
          <w:rPr>
            <w:noProof/>
            <w:webHidden/>
          </w:rPr>
          <w:fldChar w:fldCharType="begin"/>
        </w:r>
        <w:r>
          <w:rPr>
            <w:noProof/>
            <w:webHidden/>
          </w:rPr>
          <w:instrText xml:space="preserve"> PAGEREF _Toc178250036 \h </w:instrText>
        </w:r>
        <w:r>
          <w:rPr>
            <w:noProof/>
            <w:webHidden/>
          </w:rPr>
        </w:r>
        <w:r>
          <w:rPr>
            <w:noProof/>
            <w:webHidden/>
          </w:rPr>
          <w:fldChar w:fldCharType="separate"/>
        </w:r>
        <w:r>
          <w:rPr>
            <w:noProof/>
            <w:webHidden/>
          </w:rPr>
          <w:t>20</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37" w:history="1">
        <w:r w:rsidRPr="00D46098">
          <w:rPr>
            <w:rStyle w:val="Hipercze"/>
            <w:noProof/>
          </w:rPr>
          <w:t>Marek Zagańczyk, Między emigracją a krajem – o  „Zeszytach Literackich”</w:t>
        </w:r>
        <w:r>
          <w:rPr>
            <w:noProof/>
            <w:webHidden/>
          </w:rPr>
          <w:tab/>
        </w:r>
        <w:r>
          <w:rPr>
            <w:noProof/>
            <w:webHidden/>
          </w:rPr>
          <w:fldChar w:fldCharType="begin"/>
        </w:r>
        <w:r>
          <w:rPr>
            <w:noProof/>
            <w:webHidden/>
          </w:rPr>
          <w:instrText xml:space="preserve"> PAGEREF _Toc178250037 \h </w:instrText>
        </w:r>
        <w:r>
          <w:rPr>
            <w:noProof/>
            <w:webHidden/>
          </w:rPr>
        </w:r>
        <w:r>
          <w:rPr>
            <w:noProof/>
            <w:webHidden/>
          </w:rPr>
          <w:fldChar w:fldCharType="separate"/>
        </w:r>
        <w:r>
          <w:rPr>
            <w:noProof/>
            <w:webHidden/>
          </w:rPr>
          <w:t>20</w:t>
        </w:r>
        <w:r>
          <w:rPr>
            <w:noProof/>
            <w:webHidden/>
          </w:rPr>
          <w:fldChar w:fldCharType="end"/>
        </w:r>
      </w:hyperlink>
    </w:p>
    <w:p w:rsidR="00A471FE" w:rsidRDefault="00A471FE">
      <w:pPr>
        <w:pStyle w:val="Spistreci2"/>
        <w:tabs>
          <w:tab w:val="right" w:leader="dot" w:pos="9016"/>
        </w:tabs>
        <w:rPr>
          <w:rFonts w:asciiTheme="minorHAnsi" w:eastAsiaTheme="minorEastAsia" w:hAnsiTheme="minorHAnsi" w:cstheme="minorBidi"/>
          <w:noProof/>
          <w:lang w:eastAsia="pl-PL"/>
        </w:rPr>
      </w:pPr>
      <w:hyperlink w:anchor="_Toc178250038" w:history="1">
        <w:r w:rsidRPr="00D46098">
          <w:rPr>
            <w:rStyle w:val="Hipercze"/>
            <w:noProof/>
          </w:rPr>
          <w:t>Agnieszka Nowok-Zych,  </w:t>
        </w:r>
        <w:r w:rsidRPr="00D46098">
          <w:rPr>
            <w:rStyle w:val="Hipercze"/>
            <w:i/>
            <w:iCs/>
            <w:noProof/>
          </w:rPr>
          <w:t>Twórcy (z) pogranicza. Mieczysław Wajnberg i Julian Tuwim</w:t>
        </w:r>
        <w:r>
          <w:rPr>
            <w:noProof/>
            <w:webHidden/>
          </w:rPr>
          <w:tab/>
        </w:r>
        <w:r>
          <w:rPr>
            <w:noProof/>
            <w:webHidden/>
          </w:rPr>
          <w:fldChar w:fldCharType="begin"/>
        </w:r>
        <w:r>
          <w:rPr>
            <w:noProof/>
            <w:webHidden/>
          </w:rPr>
          <w:instrText xml:space="preserve"> PAGEREF _Toc178250038 \h </w:instrText>
        </w:r>
        <w:r>
          <w:rPr>
            <w:noProof/>
            <w:webHidden/>
          </w:rPr>
        </w:r>
        <w:r>
          <w:rPr>
            <w:noProof/>
            <w:webHidden/>
          </w:rPr>
          <w:fldChar w:fldCharType="separate"/>
        </w:r>
        <w:r>
          <w:rPr>
            <w:noProof/>
            <w:webHidden/>
          </w:rPr>
          <w:t>20</w:t>
        </w:r>
        <w:r>
          <w:rPr>
            <w:noProof/>
            <w:webHidden/>
          </w:rPr>
          <w:fldChar w:fldCharType="end"/>
        </w:r>
      </w:hyperlink>
    </w:p>
    <w:p w:rsidR="00753D34" w:rsidRDefault="00627454" w:rsidP="00DB5195">
      <w:pPr>
        <w:pStyle w:val="Nagwek2"/>
        <w:rPr>
          <w:rFonts w:cs="Calibri Light"/>
          <w:b/>
          <w:bCs/>
          <w:color w:val="404040" w:themeColor="text1" w:themeTint="BF"/>
          <w:sz w:val="24"/>
          <w:szCs w:val="24"/>
        </w:rPr>
      </w:pPr>
      <w:r w:rsidRPr="001D2EC3">
        <w:rPr>
          <w:rFonts w:cs="Calibri Light"/>
          <w:b/>
          <w:bCs/>
          <w:color w:val="404040" w:themeColor="text1" w:themeTint="BF"/>
          <w:sz w:val="24"/>
          <w:szCs w:val="24"/>
        </w:rPr>
        <w:fldChar w:fldCharType="end"/>
      </w:r>
    </w:p>
    <w:p w:rsidR="00753D34" w:rsidRDefault="00753D34" w:rsidP="00DB5195">
      <w:pPr>
        <w:pStyle w:val="Nagwek2"/>
      </w:pPr>
    </w:p>
    <w:p w:rsidR="00753D34" w:rsidRDefault="00753D34" w:rsidP="00DB5195">
      <w:pPr>
        <w:pStyle w:val="Nagwek2"/>
      </w:pPr>
    </w:p>
    <w:p w:rsidR="00753D34" w:rsidRDefault="00753D34" w:rsidP="00DB5195">
      <w:pPr>
        <w:pStyle w:val="Nagwek2"/>
      </w:pPr>
    </w:p>
    <w:p w:rsidR="00753D34" w:rsidRDefault="00753D34">
      <w:pPr>
        <w:spacing w:before="0" w:line="240" w:lineRule="auto"/>
        <w:rPr>
          <w:rFonts w:ascii="Segoe UI Light" w:eastAsia="MS Gothic" w:hAnsi="Segoe UI Light" w:cs="Segoe UI Light"/>
          <w:color w:val="1F4E79"/>
          <w:sz w:val="36"/>
          <w:szCs w:val="26"/>
        </w:rPr>
      </w:pPr>
      <w:r>
        <w:br w:type="page"/>
      </w:r>
    </w:p>
    <w:p w:rsidR="00627454" w:rsidRPr="00586F1D" w:rsidRDefault="00627454" w:rsidP="00DB5195">
      <w:pPr>
        <w:pStyle w:val="Nagwek2"/>
      </w:pPr>
      <w:bookmarkStart w:id="1" w:name="_Toc178250008"/>
      <w:r w:rsidRPr="00586F1D">
        <w:lastRenderedPageBreak/>
        <w:t>Beata Bolesławska-Lewandowska</w:t>
      </w:r>
      <w:r w:rsidR="0061638B" w:rsidRPr="00586F1D">
        <w:t xml:space="preserve"> (IS PAN)</w:t>
      </w:r>
      <w:r w:rsidRPr="00586F1D">
        <w:t>, Kompozytorzy polscy w kręgu emigracji politycznej po II wojnie światowej</w:t>
      </w:r>
      <w:bookmarkEnd w:id="1"/>
      <w:r w:rsidRPr="00586F1D">
        <w:t xml:space="preserve"> </w:t>
      </w:r>
    </w:p>
    <w:p w:rsidR="00627454" w:rsidRPr="00586F1D" w:rsidRDefault="00627454" w:rsidP="00C417BF">
      <w:pPr>
        <w:jc w:val="both"/>
        <w:rPr>
          <w:rStyle w:val="d2edcug0"/>
          <w:rFonts w:cs="Calibri Light"/>
          <w:sz w:val="24"/>
          <w:szCs w:val="24"/>
        </w:rPr>
      </w:pPr>
      <w:r w:rsidRPr="00586F1D">
        <w:rPr>
          <w:rStyle w:val="d2edcug0"/>
          <w:rFonts w:cs="Calibri Light"/>
          <w:sz w:val="24"/>
          <w:szCs w:val="24"/>
        </w:rPr>
        <w:t xml:space="preserve">Narzucony Polsce po II wojnie światowej system komunistyczny spowodował, że nie tylko część twórców przebywających w czasie okupacji poza granicami kraju nie powróciła do Polski,  ale także niektórzy z tych, którzy po 1945 roku włączyli się w odbudowę życia kulturalnego w kraju, w kolejnych latach zdecydowali się na emigrację. </w:t>
      </w:r>
    </w:p>
    <w:p w:rsidR="00627454" w:rsidRPr="00586F1D" w:rsidRDefault="00627454" w:rsidP="00C417BF">
      <w:pPr>
        <w:jc w:val="both"/>
        <w:rPr>
          <w:rStyle w:val="d2edcug0"/>
          <w:rFonts w:cs="Calibri Light"/>
          <w:sz w:val="24"/>
          <w:szCs w:val="24"/>
        </w:rPr>
      </w:pPr>
      <w:r w:rsidRPr="00586F1D">
        <w:rPr>
          <w:rStyle w:val="d2edcug0"/>
          <w:rFonts w:cs="Calibri Light"/>
          <w:sz w:val="24"/>
          <w:szCs w:val="24"/>
        </w:rPr>
        <w:t xml:space="preserve">Wśród kompozytorów należy tu wymienić Romana Palestra, który opuścił Polskę w 1947 roku, decyzję o pozostaniu na emigracji ogłaszając trzy lata później, a także Andrzeja Panufnika, który w 1954 roku poprosił o polityczny azyl w Wielkiej Brytanii. </w:t>
      </w:r>
    </w:p>
    <w:p w:rsidR="00627454" w:rsidRPr="00586F1D" w:rsidRDefault="00627454" w:rsidP="00C417BF">
      <w:pPr>
        <w:jc w:val="both"/>
        <w:rPr>
          <w:rStyle w:val="d2edcug0"/>
          <w:rFonts w:cs="Calibri Light"/>
          <w:sz w:val="24"/>
          <w:szCs w:val="24"/>
        </w:rPr>
      </w:pPr>
      <w:r w:rsidRPr="00586F1D">
        <w:rPr>
          <w:rStyle w:val="d2edcug0"/>
          <w:rFonts w:cs="Calibri Light"/>
          <w:sz w:val="24"/>
          <w:szCs w:val="24"/>
        </w:rPr>
        <w:t xml:space="preserve">Obaj - przez komunistyczną cenzurę skazani w kraju na zapomnienie - na emigracji włączali się w działania na rzecz polskiej kultury nie tylko w pracy twórczej, ale i  poprzez współpracę z najważniejszymi polskimi ośrodkami emigracyjnymi, na czele z paryską </w:t>
      </w:r>
      <w:r w:rsidR="007430A8" w:rsidRPr="00586F1D">
        <w:rPr>
          <w:rStyle w:val="d2edcug0"/>
          <w:rFonts w:cs="Calibri Light"/>
          <w:sz w:val="24"/>
          <w:szCs w:val="24"/>
        </w:rPr>
        <w:t>„</w:t>
      </w:r>
      <w:r w:rsidRPr="00586F1D">
        <w:rPr>
          <w:rStyle w:val="d2edcug0"/>
          <w:rFonts w:cs="Calibri Light"/>
          <w:sz w:val="24"/>
          <w:szCs w:val="24"/>
        </w:rPr>
        <w:t>Kulturą</w:t>
      </w:r>
      <w:r w:rsidR="007430A8" w:rsidRPr="00586F1D">
        <w:rPr>
          <w:rStyle w:val="d2edcug0"/>
          <w:rFonts w:cs="Calibri Light"/>
          <w:sz w:val="24"/>
          <w:szCs w:val="24"/>
        </w:rPr>
        <w:t>”</w:t>
      </w:r>
      <w:r w:rsidRPr="00586F1D">
        <w:rPr>
          <w:rStyle w:val="d2edcug0"/>
          <w:rFonts w:cs="Calibri Light"/>
          <w:sz w:val="24"/>
          <w:szCs w:val="24"/>
        </w:rPr>
        <w:t xml:space="preserve"> i Radiem Wolna Europa.</w:t>
      </w:r>
    </w:p>
    <w:p w:rsidR="00627454" w:rsidRPr="00586F1D" w:rsidRDefault="00627454" w:rsidP="00C417BF">
      <w:pPr>
        <w:jc w:val="both"/>
        <w:rPr>
          <w:rStyle w:val="d2edcug0"/>
          <w:rFonts w:cs="Calibri Light"/>
          <w:sz w:val="24"/>
          <w:szCs w:val="24"/>
        </w:rPr>
      </w:pPr>
      <w:r w:rsidRPr="00586F1D">
        <w:rPr>
          <w:rStyle w:val="d2edcug0"/>
          <w:rFonts w:cs="Calibri Light"/>
          <w:sz w:val="24"/>
          <w:szCs w:val="24"/>
        </w:rPr>
        <w:t>Celem wykładu jest przybliżenie zarówno wzajemnych kontaktów przebywających na emigracji kompozytorów, jak i ukazanie ich związków z działalnością polskich krę</w:t>
      </w:r>
      <w:r w:rsidR="00C417BF" w:rsidRPr="00586F1D">
        <w:rPr>
          <w:rStyle w:val="d2edcug0"/>
          <w:rFonts w:cs="Calibri Light"/>
          <w:sz w:val="24"/>
          <w:szCs w:val="24"/>
        </w:rPr>
        <w:t>gów emigracji politycznej po II </w:t>
      </w:r>
      <w:r w:rsidRPr="00586F1D">
        <w:rPr>
          <w:rStyle w:val="d2edcug0"/>
          <w:rFonts w:cs="Calibri Light"/>
          <w:sz w:val="24"/>
          <w:szCs w:val="24"/>
        </w:rPr>
        <w:t>wojnie światowej.  </w:t>
      </w:r>
    </w:p>
    <w:p w:rsidR="00627454" w:rsidRPr="00586F1D" w:rsidRDefault="00627454" w:rsidP="00627454">
      <w:pPr>
        <w:jc w:val="right"/>
        <w:rPr>
          <w:rFonts w:cs="Calibri Light"/>
          <w:sz w:val="24"/>
          <w:szCs w:val="24"/>
          <w:lang w:bidi="pl-PL"/>
        </w:rPr>
      </w:pPr>
      <w:r w:rsidRPr="00586F1D">
        <w:rPr>
          <w:rFonts w:cs="Calibri Light"/>
          <w:sz w:val="24"/>
          <w:szCs w:val="24"/>
          <w:lang w:bidi="pl-PL"/>
        </w:rPr>
        <w:t>(</w:t>
      </w:r>
      <w:r w:rsidRPr="00586F1D">
        <w:rPr>
          <w:rFonts w:cs="Calibri Light"/>
          <w:sz w:val="24"/>
          <w:szCs w:val="24"/>
        </w:rPr>
        <w:t>27 XI 2019)</w:t>
      </w:r>
    </w:p>
    <w:p w:rsidR="005C6D45" w:rsidRDefault="005C6D45">
      <w:pPr>
        <w:rPr>
          <w:rFonts w:cs="Calibri Light"/>
          <w:noProof/>
          <w:sz w:val="24"/>
          <w:szCs w:val="24"/>
        </w:rPr>
      </w:pPr>
    </w:p>
    <w:p w:rsidR="00C62275" w:rsidRPr="00586F1D" w:rsidRDefault="00C62275">
      <w:pPr>
        <w:rPr>
          <w:rFonts w:cs="Calibri Light"/>
          <w:noProof/>
          <w:sz w:val="24"/>
          <w:szCs w:val="24"/>
        </w:rPr>
      </w:pPr>
    </w:p>
    <w:p w:rsidR="005C6D45" w:rsidRPr="00586F1D" w:rsidRDefault="00627454" w:rsidP="00C62275">
      <w:pPr>
        <w:pStyle w:val="Nagwek2"/>
      </w:pPr>
      <w:bookmarkStart w:id="2" w:name="_Toc178250009"/>
      <w:r w:rsidRPr="00586F1D">
        <w:t>Jolanta Guzy-Pasiak</w:t>
      </w:r>
      <w:r w:rsidR="0061638B" w:rsidRPr="00586F1D">
        <w:t xml:space="preserve"> (IS PAN)</w:t>
      </w:r>
      <w:r w:rsidRPr="00586F1D">
        <w:t>, Problemy w badaniach na</w:t>
      </w:r>
      <w:r w:rsidR="00546E24" w:rsidRPr="00586F1D">
        <w:t>d kompozytorami emigracyjnymi I </w:t>
      </w:r>
      <w:r w:rsidRPr="00586F1D">
        <w:t>połowy XX wieku</w:t>
      </w:r>
      <w:bookmarkEnd w:id="2"/>
    </w:p>
    <w:p w:rsidR="00627454" w:rsidRPr="00586F1D" w:rsidRDefault="00627454" w:rsidP="00C417BF">
      <w:pPr>
        <w:jc w:val="both"/>
        <w:rPr>
          <w:rFonts w:cs="Calibri Light"/>
          <w:noProof/>
          <w:sz w:val="24"/>
          <w:szCs w:val="24"/>
          <w:lang w:bidi="pl-PL"/>
        </w:rPr>
      </w:pPr>
      <w:r w:rsidRPr="00586F1D">
        <w:rPr>
          <w:rFonts w:cs="Calibri Light"/>
          <w:noProof/>
          <w:sz w:val="24"/>
          <w:szCs w:val="24"/>
          <w:lang w:bidi="pl-PL"/>
        </w:rPr>
        <w:t>Artystów, którym przyszło żyć w czasach dwóch totalitaryzmów: faszyzmu i komunizmu, którzy przeżyli koszmar obu wojen i skazani byli na wygnanie, wiele łączy, zarówn</w:t>
      </w:r>
      <w:r w:rsidR="00C417BF" w:rsidRPr="00586F1D">
        <w:rPr>
          <w:rFonts w:cs="Calibri Light"/>
          <w:noProof/>
          <w:sz w:val="24"/>
          <w:szCs w:val="24"/>
          <w:lang w:bidi="pl-PL"/>
        </w:rPr>
        <w:t>o pod względem zawodowym, jak i </w:t>
      </w:r>
      <w:r w:rsidRPr="00586F1D">
        <w:rPr>
          <w:rFonts w:cs="Calibri Light"/>
          <w:noProof/>
          <w:sz w:val="24"/>
          <w:szCs w:val="24"/>
          <w:lang w:bidi="pl-PL"/>
        </w:rPr>
        <w:t xml:space="preserve">osobistym.  </w:t>
      </w:r>
    </w:p>
    <w:p w:rsidR="00627454" w:rsidRPr="00586F1D" w:rsidRDefault="00627454" w:rsidP="00C417BF">
      <w:pPr>
        <w:jc w:val="both"/>
        <w:rPr>
          <w:rFonts w:cs="Calibri Light"/>
          <w:noProof/>
          <w:sz w:val="24"/>
          <w:szCs w:val="24"/>
          <w:lang w:bidi="pl-PL"/>
        </w:rPr>
      </w:pPr>
      <w:r w:rsidRPr="00586F1D">
        <w:rPr>
          <w:rFonts w:cs="Calibri Light"/>
          <w:noProof/>
          <w:sz w:val="24"/>
          <w:szCs w:val="24"/>
          <w:lang w:bidi="pl-PL"/>
        </w:rPr>
        <w:t xml:space="preserve">Dzieje kultury muzycznej, sztuki i nauki, jak nigdy przedtem, splotły się w XX wieku z wydarzeniami politycznymi i społecznymi. Podobny los podzielili kompozytorzy tacy jak Karol Rathaus, Aleksander Tansman, Jerzy Fitelberg, Tadeusz Zygfryd Kassern, Michał Kondracki czy Feliks Łabuński. Za czasów rządów komunistycznych muzyka twórców żyjących poza granicami kraju została wykluczona z życia koncertowego i wyłączona z badań nad całokształtem zjawisk rodzimej twórczości kompozytorskiej. </w:t>
      </w:r>
    </w:p>
    <w:p w:rsidR="00627454" w:rsidRPr="00586F1D" w:rsidRDefault="00627454" w:rsidP="00627454">
      <w:pPr>
        <w:jc w:val="right"/>
        <w:rPr>
          <w:rFonts w:cs="Calibri Light"/>
          <w:noProof/>
          <w:sz w:val="24"/>
          <w:szCs w:val="24"/>
          <w:lang w:bidi="pl-PL"/>
        </w:rPr>
      </w:pPr>
      <w:r w:rsidRPr="00586F1D">
        <w:rPr>
          <w:rFonts w:cs="Calibri Light"/>
          <w:noProof/>
          <w:sz w:val="24"/>
          <w:szCs w:val="24"/>
          <w:lang w:bidi="pl-PL"/>
        </w:rPr>
        <w:t>(11 XII 2019)</w:t>
      </w:r>
    </w:p>
    <w:p w:rsidR="00627454" w:rsidRDefault="00627454" w:rsidP="00627454">
      <w:pPr>
        <w:jc w:val="right"/>
        <w:rPr>
          <w:rFonts w:cs="Calibri Light"/>
          <w:noProof/>
          <w:sz w:val="24"/>
          <w:szCs w:val="24"/>
          <w:lang w:val="it-IT" w:bidi="pl-PL"/>
        </w:rPr>
      </w:pPr>
    </w:p>
    <w:p w:rsidR="00C62275" w:rsidRPr="00586F1D" w:rsidRDefault="00C62275" w:rsidP="00627454">
      <w:pPr>
        <w:jc w:val="right"/>
        <w:rPr>
          <w:rFonts w:cs="Calibri Light"/>
          <w:noProof/>
          <w:sz w:val="24"/>
          <w:szCs w:val="24"/>
          <w:lang w:val="it-IT" w:bidi="pl-PL"/>
        </w:rPr>
      </w:pPr>
    </w:p>
    <w:p w:rsidR="005C6D45" w:rsidRPr="00586F1D" w:rsidRDefault="00627454" w:rsidP="00C62275">
      <w:pPr>
        <w:pStyle w:val="Nagwek2"/>
      </w:pPr>
      <w:bookmarkStart w:id="3" w:name="_Toc178250010"/>
      <w:r w:rsidRPr="00586F1D">
        <w:t>Ewa Fiuk</w:t>
      </w:r>
      <w:r w:rsidR="0061638B" w:rsidRPr="00586F1D">
        <w:t xml:space="preserve"> (IS PAN)</w:t>
      </w:r>
      <w:r w:rsidRPr="00586F1D">
        <w:t>, Filmowe przestrzenie i kody migracji</w:t>
      </w:r>
      <w:bookmarkEnd w:id="3"/>
    </w:p>
    <w:p w:rsidR="00627454" w:rsidRPr="00586F1D" w:rsidRDefault="00627454" w:rsidP="00C417BF">
      <w:pPr>
        <w:jc w:val="both"/>
        <w:rPr>
          <w:rFonts w:cs="Calibri Light"/>
          <w:bCs/>
          <w:noProof/>
          <w:sz w:val="24"/>
          <w:szCs w:val="24"/>
          <w:lang w:bidi="pl-PL"/>
        </w:rPr>
      </w:pPr>
      <w:r w:rsidRPr="00586F1D">
        <w:rPr>
          <w:rFonts w:cs="Calibri Light"/>
          <w:bCs/>
          <w:noProof/>
          <w:sz w:val="24"/>
          <w:szCs w:val="24"/>
          <w:lang w:bidi="pl-PL"/>
        </w:rPr>
        <w:t xml:space="preserve">W kinie niemieckim po 1945 roku temat migracji pojawia się regularnie od kilkudziesięciu lat, choć z różnym natężeniem i w różnej formule. </w:t>
      </w:r>
    </w:p>
    <w:p w:rsidR="00627454" w:rsidRPr="00586F1D" w:rsidRDefault="00627454" w:rsidP="00C417BF">
      <w:pPr>
        <w:jc w:val="both"/>
        <w:rPr>
          <w:rFonts w:cs="Calibri Light"/>
          <w:b/>
          <w:bCs/>
          <w:noProof/>
          <w:sz w:val="24"/>
          <w:szCs w:val="24"/>
          <w:lang w:bidi="pl-PL"/>
        </w:rPr>
      </w:pPr>
      <w:r w:rsidRPr="00586F1D">
        <w:rPr>
          <w:rFonts w:cs="Calibri Light"/>
          <w:bCs/>
          <w:noProof/>
          <w:sz w:val="24"/>
          <w:szCs w:val="24"/>
          <w:lang w:bidi="pl-PL"/>
        </w:rPr>
        <w:lastRenderedPageBreak/>
        <w:t>Filmy o tematyce migracyjnej lub innej, ale ukazujące postaci migrantów, tworzone były najpierw przez reżyserów niemieckich (okresem inicjacyjnym było tzw. nowe kino niemieckie przypadające na lata 60. i 70.), a potem (mniej więcej od połowy lat 80.) także przez filmowców z doświadczeniem migracyjnym. Na rozwój tej twórczości wpływały przemiany społeczno-kulturowe w RFN (m.in. kolejne fale migracji, zmiany pokoleniowe, zjednoczenie Niemiec), tak iż dziś obejmuje ona swym zasięgiem i odzwierciedla wiele zjawisk o tym charakterze – emancypację rozmaitych mniejszości, transnarodowość i</w:t>
      </w:r>
      <w:r w:rsidR="00C417BF" w:rsidRPr="00586F1D">
        <w:rPr>
          <w:rFonts w:cs="Calibri Light"/>
          <w:bCs/>
          <w:noProof/>
          <w:sz w:val="24"/>
          <w:szCs w:val="24"/>
          <w:lang w:bidi="pl-PL"/>
        </w:rPr>
        <w:t> </w:t>
      </w:r>
      <w:r w:rsidRPr="00586F1D">
        <w:rPr>
          <w:rFonts w:cs="Calibri Light"/>
          <w:bCs/>
          <w:noProof/>
          <w:sz w:val="24"/>
          <w:szCs w:val="24"/>
          <w:lang w:bidi="pl-PL"/>
        </w:rPr>
        <w:t>transkulturowość, postmigracyjny rys społeczeństwa niemieckiego. Filmy o (post)migrantach i filmy realizowane przez (post)migrantów reprezentują ponadto wiele różnych nurtów współczesnego kina – kino autorskie i gatunków, twórczość dokumentalną i eksperymentalną, kino feministyczne i queerowe. </w:t>
      </w:r>
    </w:p>
    <w:p w:rsidR="00627454" w:rsidRPr="00586F1D" w:rsidRDefault="00627454" w:rsidP="00C417BF">
      <w:pPr>
        <w:jc w:val="both"/>
        <w:rPr>
          <w:rFonts w:cs="Calibri Light"/>
          <w:noProof/>
          <w:sz w:val="24"/>
          <w:szCs w:val="24"/>
          <w:lang w:bidi="pl-PL"/>
        </w:rPr>
      </w:pPr>
      <w:r w:rsidRPr="00586F1D">
        <w:rPr>
          <w:rFonts w:cs="Calibri Light"/>
          <w:noProof/>
          <w:sz w:val="24"/>
          <w:szCs w:val="24"/>
          <w:lang w:bidi="pl-PL"/>
        </w:rPr>
        <w:t>Wykład będzie poświęcony różnym wymiarom niemieckiego kina (post)migracyjnego – czasowemu, etnicznemu, generacyjnemu itd., rodzajom narracji i sposobom konstruowania świata przedstawionego oraz możliwemu wpływowi tej twórczości na kształtowanie się świadomości społecznej u jej odbiorców.</w:t>
      </w:r>
    </w:p>
    <w:p w:rsidR="00627454" w:rsidRPr="00586F1D" w:rsidRDefault="00627454" w:rsidP="00627454">
      <w:pPr>
        <w:jc w:val="right"/>
        <w:rPr>
          <w:rFonts w:cs="Calibri Light"/>
          <w:noProof/>
          <w:sz w:val="24"/>
          <w:szCs w:val="24"/>
          <w:lang w:bidi="pl-PL"/>
        </w:rPr>
      </w:pPr>
      <w:r w:rsidRPr="00586F1D">
        <w:rPr>
          <w:rFonts w:cs="Calibri Light"/>
          <w:noProof/>
          <w:sz w:val="24"/>
          <w:szCs w:val="24"/>
          <w:lang w:bidi="pl-PL"/>
        </w:rPr>
        <w:t>(15 I 2020)</w:t>
      </w:r>
    </w:p>
    <w:p w:rsidR="00627454" w:rsidRDefault="00627454" w:rsidP="00627454">
      <w:pPr>
        <w:rPr>
          <w:rFonts w:cs="Calibri Light"/>
          <w:noProof/>
          <w:sz w:val="24"/>
          <w:szCs w:val="24"/>
          <w:lang w:val="it-IT" w:bidi="pl-PL"/>
        </w:rPr>
      </w:pPr>
    </w:p>
    <w:p w:rsidR="00C62275" w:rsidRPr="00586F1D" w:rsidRDefault="00C62275" w:rsidP="00627454">
      <w:pPr>
        <w:rPr>
          <w:rFonts w:cs="Calibri Light"/>
          <w:noProof/>
          <w:sz w:val="24"/>
          <w:szCs w:val="24"/>
          <w:lang w:val="it-IT" w:bidi="pl-PL"/>
        </w:rPr>
      </w:pPr>
    </w:p>
    <w:p w:rsidR="00627454" w:rsidRPr="00586F1D" w:rsidRDefault="00627454" w:rsidP="00C62275">
      <w:pPr>
        <w:pStyle w:val="Nagwek2"/>
      </w:pPr>
      <w:bookmarkStart w:id="4" w:name="_Toc178250011"/>
      <w:r w:rsidRPr="00586F1D">
        <w:t xml:space="preserve">Joanna </w:t>
      </w:r>
      <w:proofErr w:type="spellStart"/>
      <w:r w:rsidRPr="00586F1D">
        <w:t>Kocemba</w:t>
      </w:r>
      <w:proofErr w:type="spellEnd"/>
      <w:r w:rsidRPr="00586F1D">
        <w:t>-Żebrowska</w:t>
      </w:r>
      <w:r w:rsidR="0061638B" w:rsidRPr="00586F1D">
        <w:t xml:space="preserve"> (IS PAN)</w:t>
      </w:r>
      <w:r w:rsidRPr="00586F1D">
        <w:t>, Cudzoziemcy na wsi. Kolędowanie Teatru Węgajty</w:t>
      </w:r>
      <w:bookmarkEnd w:id="4"/>
    </w:p>
    <w:p w:rsidR="00627454" w:rsidRPr="00586F1D" w:rsidRDefault="00627454" w:rsidP="00C417BF">
      <w:pPr>
        <w:jc w:val="both"/>
        <w:rPr>
          <w:rFonts w:cs="Calibri Light"/>
          <w:bCs/>
          <w:noProof/>
          <w:sz w:val="24"/>
          <w:szCs w:val="24"/>
          <w:lang w:bidi="pl-PL"/>
        </w:rPr>
      </w:pPr>
      <w:r w:rsidRPr="00586F1D">
        <w:rPr>
          <w:rFonts w:cs="Calibri Light"/>
          <w:bCs/>
          <w:noProof/>
          <w:sz w:val="24"/>
          <w:szCs w:val="24"/>
          <w:lang w:bidi="pl-PL"/>
        </w:rPr>
        <w:t>Wyprawy dla Teatru Węgajty, jednego z najważniejszych polskich teatrów alternatywnych, były ważne od początku jego istnienia i do tej pory stanowią niezwykle istotny element działalności tego teatru.</w:t>
      </w:r>
    </w:p>
    <w:p w:rsidR="00627454" w:rsidRPr="00586F1D" w:rsidRDefault="00627454" w:rsidP="00C417BF">
      <w:pPr>
        <w:jc w:val="both"/>
        <w:rPr>
          <w:rFonts w:cs="Calibri Light"/>
          <w:b/>
          <w:bCs/>
          <w:noProof/>
          <w:sz w:val="24"/>
          <w:szCs w:val="24"/>
          <w:lang w:bidi="pl-PL"/>
        </w:rPr>
      </w:pPr>
      <w:r w:rsidRPr="00586F1D">
        <w:rPr>
          <w:rFonts w:cs="Calibri Light"/>
          <w:noProof/>
          <w:sz w:val="24"/>
          <w:szCs w:val="24"/>
          <w:lang w:bidi="pl-PL"/>
        </w:rPr>
        <w:t>Początkowo członkowie grupy niesieni byli chęcią doświadczania kultury ludowej zakorzenionej w</w:t>
      </w:r>
      <w:r w:rsidR="00C417BF" w:rsidRPr="00586F1D">
        <w:rPr>
          <w:rFonts w:cs="Calibri Light"/>
          <w:noProof/>
          <w:sz w:val="24"/>
          <w:szCs w:val="24"/>
          <w:lang w:bidi="pl-PL"/>
        </w:rPr>
        <w:t> </w:t>
      </w:r>
      <w:r w:rsidRPr="00586F1D">
        <w:rPr>
          <w:rFonts w:cs="Calibri Light"/>
          <w:noProof/>
          <w:sz w:val="24"/>
          <w:szCs w:val="24"/>
          <w:lang w:bidi="pl-PL"/>
        </w:rPr>
        <w:t xml:space="preserve">wiejskich społecznościach. Szukali inspiracji dla własnych działań i odpowiedzi na nurtujące ich </w:t>
      </w:r>
      <w:r w:rsidR="007430A8" w:rsidRPr="00586F1D">
        <w:rPr>
          <w:rFonts w:cs="Calibri Light"/>
          <w:noProof/>
          <w:sz w:val="24"/>
          <w:szCs w:val="24"/>
          <w:lang w:bidi="pl-PL"/>
        </w:rPr>
        <w:t>„</w:t>
      </w:r>
      <w:r w:rsidRPr="00586F1D">
        <w:rPr>
          <w:rFonts w:cs="Calibri Light"/>
          <w:noProof/>
          <w:sz w:val="24"/>
          <w:szCs w:val="24"/>
          <w:lang w:bidi="pl-PL"/>
        </w:rPr>
        <w:t>pytania o związek twórczości teatralnej z kulturą tradycyjną</w:t>
      </w:r>
      <w:r w:rsidR="007430A8" w:rsidRPr="00586F1D">
        <w:rPr>
          <w:rFonts w:cs="Calibri Light"/>
          <w:noProof/>
          <w:sz w:val="24"/>
          <w:szCs w:val="24"/>
          <w:lang w:bidi="pl-PL"/>
        </w:rPr>
        <w:t>”</w:t>
      </w:r>
      <w:r w:rsidRPr="00586F1D">
        <w:rPr>
          <w:rFonts w:cs="Calibri Light"/>
          <w:noProof/>
          <w:sz w:val="24"/>
          <w:szCs w:val="24"/>
          <w:lang w:bidi="pl-PL"/>
        </w:rPr>
        <w:t xml:space="preserve"> (Sobaszek 2007, s. 9). </w:t>
      </w:r>
    </w:p>
    <w:p w:rsidR="005C6D45" w:rsidRPr="00586F1D" w:rsidRDefault="00627454" w:rsidP="00C417BF">
      <w:pPr>
        <w:jc w:val="both"/>
        <w:rPr>
          <w:rFonts w:cs="Calibri Light"/>
          <w:noProof/>
          <w:sz w:val="24"/>
          <w:szCs w:val="24"/>
          <w:lang w:bidi="pl-PL"/>
        </w:rPr>
      </w:pPr>
      <w:r w:rsidRPr="00586F1D">
        <w:rPr>
          <w:rFonts w:cs="Calibri Light"/>
          <w:noProof/>
          <w:sz w:val="24"/>
          <w:szCs w:val="24"/>
          <w:lang w:bidi="pl-PL"/>
        </w:rPr>
        <w:t>Po kilku latach takiej działalności członkowie Teatru zapoczątkowali wyprawy kolędnicze. W ich ramach zajęli się praktyką kolędowania</w:t>
      </w:r>
      <w:r w:rsidR="00423585" w:rsidRPr="00586F1D">
        <w:rPr>
          <w:rFonts w:cs="Calibri Light"/>
          <w:noProof/>
          <w:sz w:val="24"/>
          <w:szCs w:val="24"/>
          <w:lang w:bidi="pl-PL"/>
        </w:rPr>
        <w:t xml:space="preserve"> bożonarodzeniowego i wiosennego (tzw. Alilujką) na dwóch polskich pograniczach: na terenach wiejskich Beskidu Niskiego (Łemkowszczyzna) i na Suwalszczyźnie, na pograniczu polsko-litewskim. Początkowo, wcielając się w role kolędników, wykorzystywali przede wszystkim miejscowe, ulegające zapomnieniu, pieśni i zwyczaje. Z biegiem lat w coraz większym stopniu zaczęli je w twórczy sposób przekształcać, a także wykorzystywać i włączać tradycje pochodzące z różnych części Europy i świata, z których wywodzili się zarówno sami </w:t>
      </w:r>
      <w:r w:rsidR="00C417BF" w:rsidRPr="00586F1D">
        <w:rPr>
          <w:rFonts w:cs="Calibri Light"/>
          <w:noProof/>
          <w:sz w:val="24"/>
          <w:szCs w:val="24"/>
          <w:lang w:bidi="pl-PL"/>
        </w:rPr>
        <w:t>członkowie Teatru Węgajty jak i </w:t>
      </w:r>
      <w:r w:rsidR="00423585" w:rsidRPr="00586F1D">
        <w:rPr>
          <w:rFonts w:cs="Calibri Light"/>
          <w:noProof/>
          <w:sz w:val="24"/>
          <w:szCs w:val="24"/>
          <w:lang w:bidi="pl-PL"/>
        </w:rPr>
        <w:t>osoby z nimi współpracujące. Kolędowanie nabrało zatem charakteru wieloetnicznego i wielonarodowego. Sam spektakl, prezentowany zaś jako zwieńczenie wyprawy przed publicznością wiejską, stał się ponadnarodowym i transkulturowym widowiskiem, rozmaite refleksje jego twórców zaczęły być przekazywane z wykorzystaniem elementów tradycji pochodzących z odmiennych kultur.</w:t>
      </w:r>
    </w:p>
    <w:p w:rsidR="00423585" w:rsidRPr="00586F1D" w:rsidRDefault="00423585" w:rsidP="00423585">
      <w:pPr>
        <w:jc w:val="right"/>
        <w:rPr>
          <w:rFonts w:cs="Calibri Light"/>
          <w:noProof/>
          <w:sz w:val="24"/>
          <w:szCs w:val="24"/>
          <w:lang w:bidi="pl-PL"/>
        </w:rPr>
      </w:pPr>
      <w:r w:rsidRPr="00586F1D">
        <w:rPr>
          <w:rFonts w:cs="Calibri Light"/>
          <w:noProof/>
          <w:sz w:val="24"/>
          <w:szCs w:val="24"/>
          <w:lang w:bidi="pl-PL"/>
        </w:rPr>
        <w:t>(12 II 2020)</w:t>
      </w:r>
    </w:p>
    <w:p w:rsidR="00423585" w:rsidRDefault="00423585" w:rsidP="00423585">
      <w:pPr>
        <w:jc w:val="right"/>
        <w:rPr>
          <w:rFonts w:cs="Calibri Light"/>
          <w:noProof/>
          <w:sz w:val="24"/>
          <w:szCs w:val="24"/>
          <w:lang w:bidi="pl-PL"/>
        </w:rPr>
      </w:pPr>
    </w:p>
    <w:p w:rsidR="00C62275" w:rsidRPr="00586F1D" w:rsidRDefault="00C62275" w:rsidP="00423585">
      <w:pPr>
        <w:jc w:val="right"/>
        <w:rPr>
          <w:rFonts w:cs="Calibri Light"/>
          <w:noProof/>
          <w:sz w:val="24"/>
          <w:szCs w:val="24"/>
          <w:lang w:bidi="pl-PL"/>
        </w:rPr>
      </w:pPr>
    </w:p>
    <w:p w:rsidR="005C6D45" w:rsidRPr="00586F1D" w:rsidRDefault="00625976" w:rsidP="00C62275">
      <w:pPr>
        <w:pStyle w:val="Nagwek2"/>
        <w:rPr>
          <w:noProof/>
        </w:rPr>
      </w:pPr>
      <w:bookmarkStart w:id="5" w:name="_Toc178250012"/>
      <w:r w:rsidRPr="00586F1D">
        <w:lastRenderedPageBreak/>
        <w:t xml:space="preserve">Karolina </w:t>
      </w:r>
      <w:proofErr w:type="spellStart"/>
      <w:r w:rsidRPr="00586F1D">
        <w:t>Łabowicz-</w:t>
      </w:r>
      <w:r w:rsidR="00423585" w:rsidRPr="00586F1D">
        <w:t>Dymanus</w:t>
      </w:r>
      <w:proofErr w:type="spellEnd"/>
      <w:r w:rsidR="0061638B" w:rsidRPr="00586F1D">
        <w:t xml:space="preserve"> (IS PAN)</w:t>
      </w:r>
      <w:r w:rsidR="00423585" w:rsidRPr="00586F1D">
        <w:t>, Globalne kontakty w</w:t>
      </w:r>
      <w:r w:rsidR="00736FDC">
        <w:t> </w:t>
      </w:r>
      <w:r w:rsidR="00423585" w:rsidRPr="00586F1D">
        <w:t>PRL-u. Wymiana artystyczna z tzw. Krajami Trzeciego Świata w latach 1950–tych</w:t>
      </w:r>
      <w:bookmarkEnd w:id="5"/>
    </w:p>
    <w:p w:rsidR="00423585" w:rsidRPr="00586F1D" w:rsidRDefault="00423585" w:rsidP="00C417BF">
      <w:pPr>
        <w:jc w:val="both"/>
        <w:rPr>
          <w:rFonts w:cs="Calibri Light"/>
          <w:bCs/>
          <w:noProof/>
          <w:sz w:val="24"/>
          <w:szCs w:val="24"/>
          <w:lang w:val="it-IT" w:bidi="pl-PL"/>
        </w:rPr>
      </w:pPr>
      <w:r w:rsidRPr="00586F1D">
        <w:rPr>
          <w:rFonts w:cs="Calibri Light"/>
          <w:bCs/>
          <w:noProof/>
          <w:sz w:val="24"/>
          <w:szCs w:val="24"/>
          <w:lang w:bidi="pl-PL"/>
        </w:rPr>
        <w:t xml:space="preserve">Sztuka lat 1950-tych zazwyczaj kojarzona jest albo z narzuconym przez władze realizmem socjalistycznym, albo </w:t>
      </w:r>
      <w:r w:rsidR="007430A8" w:rsidRPr="00586F1D">
        <w:rPr>
          <w:rFonts w:cs="Calibri Light"/>
          <w:bCs/>
          <w:noProof/>
          <w:sz w:val="24"/>
          <w:szCs w:val="24"/>
          <w:lang w:bidi="pl-PL"/>
        </w:rPr>
        <w:t>„</w:t>
      </w:r>
      <w:r w:rsidRPr="00586F1D">
        <w:rPr>
          <w:rFonts w:cs="Calibri Light"/>
          <w:bCs/>
          <w:noProof/>
          <w:sz w:val="24"/>
          <w:szCs w:val="24"/>
          <w:lang w:bidi="pl-PL"/>
        </w:rPr>
        <w:t>odwilżową</w:t>
      </w:r>
      <w:r w:rsidR="007430A8" w:rsidRPr="00586F1D">
        <w:rPr>
          <w:rFonts w:cs="Calibri Light"/>
          <w:bCs/>
          <w:noProof/>
          <w:sz w:val="24"/>
          <w:szCs w:val="24"/>
          <w:lang w:bidi="pl-PL"/>
        </w:rPr>
        <w:t>”</w:t>
      </w:r>
      <w:r w:rsidRPr="00586F1D">
        <w:rPr>
          <w:rFonts w:cs="Calibri Light"/>
          <w:bCs/>
          <w:noProof/>
          <w:sz w:val="24"/>
          <w:szCs w:val="24"/>
          <w:lang w:bidi="pl-PL"/>
        </w:rPr>
        <w:t xml:space="preserve"> abstrakcją. </w:t>
      </w:r>
    </w:p>
    <w:p w:rsidR="00423585" w:rsidRPr="00586F1D" w:rsidRDefault="00423585" w:rsidP="00C417BF">
      <w:pPr>
        <w:jc w:val="both"/>
        <w:rPr>
          <w:rFonts w:cs="Calibri Light"/>
          <w:noProof/>
          <w:sz w:val="24"/>
          <w:szCs w:val="24"/>
          <w:lang w:bidi="pl-PL"/>
        </w:rPr>
      </w:pPr>
      <w:r w:rsidRPr="00586F1D">
        <w:rPr>
          <w:rFonts w:cs="Calibri Light"/>
          <w:noProof/>
          <w:sz w:val="24"/>
          <w:szCs w:val="24"/>
          <w:lang w:bidi="pl-PL"/>
        </w:rPr>
        <w:t xml:space="preserve">Jeśli już osadza się sztukę PRL-u w kontekście międzynarodowym, to niemal zawsze jest to odwołanie do kanonu Zachodniego. Rzadko pojawiają się odwołania do wzorców płynących z Moskwy. Tymczasem, dominujące obecnie w humanistyce badania postkolonialne przypominają, że także PRL funkcjonował w kontekście globalnym i tak też powinniśmy rozpatrywać sztukę wówczas powstającą. Tym bardziej, że kontakty z tzw. Trzecim Światem były niezwykle ożywione. Polscy artyści, architekci, filmowcy i pisarze uczestniczyli w wymianach z twórcami z krajów Afrykańskich, Azjatyckich i Ameryki Łacińskiej. </w:t>
      </w:r>
    </w:p>
    <w:p w:rsidR="00423585" w:rsidRPr="00586F1D" w:rsidRDefault="00423585" w:rsidP="00C417BF">
      <w:pPr>
        <w:jc w:val="both"/>
        <w:rPr>
          <w:rFonts w:cs="Calibri Light"/>
          <w:noProof/>
          <w:sz w:val="24"/>
          <w:szCs w:val="24"/>
          <w:lang w:bidi="pl-PL"/>
        </w:rPr>
      </w:pPr>
      <w:r w:rsidRPr="00586F1D">
        <w:rPr>
          <w:rFonts w:cs="Calibri Light"/>
          <w:noProof/>
          <w:sz w:val="24"/>
          <w:szCs w:val="24"/>
          <w:lang w:bidi="pl-PL"/>
        </w:rPr>
        <w:t>Liczne wystawy sztuki obcej i relacje z egzotycznych podroży w prasie zapewniały kontakt z globalnym światem. A doktryna socrealizmu czerpać miała ze wzorców artystycznych wyprac</w:t>
      </w:r>
      <w:r w:rsidR="00C417BF" w:rsidRPr="00586F1D">
        <w:rPr>
          <w:rFonts w:cs="Calibri Light"/>
          <w:noProof/>
          <w:sz w:val="24"/>
          <w:szCs w:val="24"/>
          <w:lang w:bidi="pl-PL"/>
        </w:rPr>
        <w:t>owanych przez „</w:t>
      </w:r>
      <w:r w:rsidRPr="00586F1D">
        <w:rPr>
          <w:rFonts w:cs="Calibri Light"/>
          <w:noProof/>
          <w:sz w:val="24"/>
          <w:szCs w:val="24"/>
          <w:lang w:bidi="pl-PL"/>
        </w:rPr>
        <w:t>braci młodszych w komunizmie</w:t>
      </w:r>
      <w:r w:rsidR="007430A8" w:rsidRPr="00586F1D">
        <w:rPr>
          <w:rFonts w:cs="Calibri Light"/>
          <w:noProof/>
          <w:sz w:val="24"/>
          <w:szCs w:val="24"/>
          <w:lang w:bidi="pl-PL"/>
        </w:rPr>
        <w:t>”</w:t>
      </w:r>
      <w:r w:rsidRPr="00586F1D">
        <w:rPr>
          <w:rFonts w:cs="Calibri Light"/>
          <w:noProof/>
          <w:sz w:val="24"/>
          <w:szCs w:val="24"/>
          <w:lang w:bidi="pl-PL"/>
        </w:rPr>
        <w:t xml:space="preserve">. Twórczość artystów, takich jak osiągający sukcesy na całym świecie Tadeusz Kulisiewicz i Aleksander Kobzdej, wpisane były także w globalne ruchy dekolonizacyjne oraz na rzecz pokoju. </w:t>
      </w:r>
    </w:p>
    <w:p w:rsidR="00423585" w:rsidRPr="00586F1D" w:rsidRDefault="00423585" w:rsidP="00C417BF">
      <w:pPr>
        <w:jc w:val="both"/>
        <w:rPr>
          <w:rFonts w:cs="Calibri Light"/>
          <w:noProof/>
          <w:sz w:val="24"/>
          <w:szCs w:val="24"/>
          <w:lang w:val="it-IT" w:bidi="pl-PL"/>
        </w:rPr>
      </w:pPr>
      <w:r w:rsidRPr="00586F1D">
        <w:rPr>
          <w:rFonts w:cs="Calibri Light"/>
          <w:noProof/>
          <w:sz w:val="24"/>
          <w:szCs w:val="24"/>
          <w:lang w:bidi="pl-PL"/>
        </w:rPr>
        <w:t>Lata 1950 to wciąż żywa pamięć po XX WŚ i nadal panowało przekonanie, że kolejny globalny konflikt zbrojny jest bliski i należy mu przeciwdziałać wszelkimi sposobami. W ty celu zaprzęgano sztukę zarówno we Wschodniej, jak i  Zachodniej machinie propagandowej.</w:t>
      </w:r>
    </w:p>
    <w:p w:rsidR="005C6D45" w:rsidRPr="00586F1D" w:rsidRDefault="00423585" w:rsidP="00423585">
      <w:pPr>
        <w:jc w:val="right"/>
        <w:rPr>
          <w:rFonts w:cs="Calibri Light"/>
          <w:noProof/>
          <w:sz w:val="24"/>
          <w:szCs w:val="24"/>
          <w:lang w:bidi="pl-PL"/>
        </w:rPr>
      </w:pPr>
      <w:r w:rsidRPr="00586F1D">
        <w:rPr>
          <w:rFonts w:cs="Calibri Light"/>
          <w:noProof/>
          <w:sz w:val="24"/>
          <w:szCs w:val="24"/>
          <w:lang w:bidi="pl-PL"/>
        </w:rPr>
        <w:t>(10 III 2020)</w:t>
      </w:r>
    </w:p>
    <w:p w:rsidR="00423585" w:rsidRDefault="00423585" w:rsidP="00423585">
      <w:pPr>
        <w:jc w:val="right"/>
        <w:rPr>
          <w:rFonts w:cs="Calibri Light"/>
          <w:noProof/>
          <w:sz w:val="24"/>
          <w:szCs w:val="24"/>
        </w:rPr>
      </w:pPr>
    </w:p>
    <w:p w:rsidR="00C62275" w:rsidRPr="00586F1D" w:rsidRDefault="00C62275" w:rsidP="00423585">
      <w:pPr>
        <w:jc w:val="right"/>
        <w:rPr>
          <w:rFonts w:cs="Calibri Light"/>
          <w:noProof/>
          <w:sz w:val="24"/>
          <w:szCs w:val="24"/>
        </w:rPr>
      </w:pPr>
    </w:p>
    <w:p w:rsidR="005C6D45" w:rsidRPr="00586F1D" w:rsidRDefault="00625976" w:rsidP="00C62275">
      <w:pPr>
        <w:pStyle w:val="Nagwek2"/>
        <w:rPr>
          <w:noProof/>
        </w:rPr>
      </w:pPr>
      <w:bookmarkStart w:id="6" w:name="_Toc178250013"/>
      <w:r w:rsidRPr="00586F1D">
        <w:t>Izabela Kopania</w:t>
      </w:r>
      <w:r w:rsidR="0061638B" w:rsidRPr="00586F1D">
        <w:t xml:space="preserve"> (IS PAN)</w:t>
      </w:r>
      <w:r w:rsidRPr="00586F1D">
        <w:t xml:space="preserve">, </w:t>
      </w:r>
      <w:r w:rsidRPr="00586F1D">
        <w:rPr>
          <w:lang w:bidi="pl-PL"/>
        </w:rPr>
        <w:t xml:space="preserve">Zapożyczenia – reinterpretacje – </w:t>
      </w:r>
      <w:r w:rsidRPr="00586F1D">
        <w:t>hybrydyzacje</w:t>
      </w:r>
      <w:r w:rsidRPr="00586F1D">
        <w:rPr>
          <w:lang w:bidi="pl-PL"/>
        </w:rPr>
        <w:t xml:space="preserve">. Rzeczy w przestrzeni </w:t>
      </w:r>
      <w:r w:rsidRPr="00586F1D">
        <w:t>kontaktów</w:t>
      </w:r>
      <w:r w:rsidRPr="00586F1D">
        <w:rPr>
          <w:lang w:bidi="pl-PL"/>
        </w:rPr>
        <w:t xml:space="preserve"> między krajami europejskimi a krajami Dalekiego Wschodu w dobie nowożytnej</w:t>
      </w:r>
      <w:bookmarkEnd w:id="6"/>
    </w:p>
    <w:p w:rsidR="00625976" w:rsidRPr="00586F1D" w:rsidRDefault="00625976" w:rsidP="00C417BF">
      <w:pPr>
        <w:jc w:val="both"/>
        <w:rPr>
          <w:rFonts w:cs="Calibri Light"/>
          <w:bCs/>
          <w:noProof/>
          <w:sz w:val="24"/>
          <w:szCs w:val="24"/>
          <w:lang w:bidi="pl-PL"/>
        </w:rPr>
      </w:pPr>
      <w:r w:rsidRPr="00586F1D">
        <w:rPr>
          <w:rFonts w:cs="Calibri Light"/>
          <w:bCs/>
          <w:noProof/>
          <w:sz w:val="24"/>
          <w:szCs w:val="24"/>
          <w:lang w:bidi="pl-PL"/>
        </w:rPr>
        <w:t xml:space="preserve">Intensywne w dwóch ostatnich dekadach badania nad globalnym obiegiem rzeczy w dobie nowożytnej dobitnie wskazują na ogromną rolę, jaką w kształtowaniu kultury materialnej i wizualnej, jak też rynku, w tym rynku wyrobów luksusowych Starego Kontynentu odegrały importy z Chin. Od kilku lat badacze z równą uwagą przyglądają się miejscu obiektów europejskich w kulturze cesarstwa doby wczesnej dynastii Qing (1644-1796). Terminy takie jak </w:t>
      </w:r>
      <w:r w:rsidRPr="00586F1D">
        <w:rPr>
          <w:rFonts w:cs="Calibri Light"/>
          <w:bCs/>
          <w:i/>
          <w:noProof/>
          <w:sz w:val="24"/>
          <w:szCs w:val="24"/>
          <w:lang w:bidi="pl-PL"/>
        </w:rPr>
        <w:t>chinoiserie</w:t>
      </w:r>
      <w:r w:rsidRPr="00586F1D">
        <w:rPr>
          <w:rFonts w:cs="Calibri Light"/>
          <w:bCs/>
          <w:noProof/>
          <w:sz w:val="24"/>
          <w:szCs w:val="24"/>
          <w:lang w:bidi="pl-PL"/>
        </w:rPr>
        <w:t xml:space="preserve">, chińska sztuka eksportowa czy </w:t>
      </w:r>
      <w:r w:rsidRPr="00586F1D">
        <w:rPr>
          <w:rFonts w:cs="Calibri Light"/>
          <w:bCs/>
          <w:i/>
          <w:noProof/>
          <w:sz w:val="24"/>
          <w:szCs w:val="24"/>
          <w:lang w:bidi="pl-PL"/>
        </w:rPr>
        <w:t>occidenterie</w:t>
      </w:r>
      <w:r w:rsidRPr="00586F1D">
        <w:rPr>
          <w:rFonts w:cs="Calibri Light"/>
          <w:bCs/>
          <w:noProof/>
          <w:sz w:val="24"/>
          <w:szCs w:val="24"/>
          <w:lang w:val="it-IT" w:bidi="pl-PL"/>
        </w:rPr>
        <w:t xml:space="preserve"> </w:t>
      </w:r>
      <w:r w:rsidRPr="00586F1D">
        <w:rPr>
          <w:rFonts w:cs="Calibri Light"/>
          <w:bCs/>
          <w:noProof/>
          <w:sz w:val="24"/>
          <w:szCs w:val="24"/>
          <w:lang w:bidi="pl-PL"/>
        </w:rPr>
        <w:t xml:space="preserve">dobrze zadomowione w badaniach nad kulturą tego okresu, z jednej strony porządkują świat rzeczy powstałych </w:t>
      </w:r>
      <w:r w:rsidR="007430A8" w:rsidRPr="00586F1D">
        <w:rPr>
          <w:rFonts w:cs="Calibri Light"/>
          <w:bCs/>
          <w:noProof/>
          <w:sz w:val="24"/>
          <w:szCs w:val="24"/>
          <w:lang w:bidi="pl-PL"/>
        </w:rPr>
        <w:t>„</w:t>
      </w:r>
      <w:r w:rsidRPr="00586F1D">
        <w:rPr>
          <w:rFonts w:cs="Calibri Light"/>
          <w:bCs/>
          <w:noProof/>
          <w:sz w:val="24"/>
          <w:szCs w:val="24"/>
          <w:lang w:bidi="pl-PL"/>
        </w:rPr>
        <w:t>na styku kultur, z drugiej zaś przesłaniają przedmioty jako takie, ich strukturę, kulturowe nawarstwienia, funkcję i sposób, w jaki mogły być postrzegane przez ich odbiorców.</w:t>
      </w:r>
    </w:p>
    <w:p w:rsidR="00625976" w:rsidRPr="00586F1D" w:rsidRDefault="00625976" w:rsidP="00C417BF">
      <w:pPr>
        <w:jc w:val="both"/>
        <w:rPr>
          <w:rFonts w:cs="Calibri Light"/>
          <w:bCs/>
          <w:noProof/>
          <w:sz w:val="24"/>
          <w:szCs w:val="24"/>
          <w:lang w:bidi="pl-PL"/>
        </w:rPr>
      </w:pPr>
      <w:r w:rsidRPr="00586F1D">
        <w:rPr>
          <w:rFonts w:cs="Calibri Light"/>
          <w:bCs/>
          <w:noProof/>
          <w:sz w:val="24"/>
          <w:szCs w:val="24"/>
          <w:lang w:bidi="pl-PL"/>
        </w:rPr>
        <w:t xml:space="preserve">W </w:t>
      </w:r>
      <w:r w:rsidR="007430A8" w:rsidRPr="00586F1D">
        <w:rPr>
          <w:rFonts w:cs="Calibri Light"/>
          <w:bCs/>
          <w:noProof/>
          <w:sz w:val="24"/>
          <w:szCs w:val="24"/>
          <w:lang w:bidi="pl-PL"/>
        </w:rPr>
        <w:t>„</w:t>
      </w:r>
      <w:r w:rsidRPr="00586F1D">
        <w:rPr>
          <w:rFonts w:cs="Calibri Light"/>
          <w:bCs/>
          <w:noProof/>
          <w:sz w:val="24"/>
          <w:szCs w:val="24"/>
          <w:lang w:bidi="pl-PL"/>
        </w:rPr>
        <w:t>eurazjatyckiej</w:t>
      </w:r>
      <w:r w:rsidR="007430A8" w:rsidRPr="00586F1D">
        <w:rPr>
          <w:rFonts w:cs="Calibri Light"/>
          <w:bCs/>
          <w:noProof/>
          <w:sz w:val="24"/>
          <w:szCs w:val="24"/>
          <w:lang w:bidi="pl-PL"/>
        </w:rPr>
        <w:t>”</w:t>
      </w:r>
      <w:r w:rsidRPr="00586F1D">
        <w:rPr>
          <w:rFonts w:cs="Calibri Light"/>
          <w:bCs/>
          <w:noProof/>
          <w:sz w:val="24"/>
          <w:szCs w:val="24"/>
          <w:lang w:bidi="pl-PL"/>
        </w:rPr>
        <w:t xml:space="preserve"> przestrzeni kontaktów powstawały przedmioty hybrydalne, zbudowane tak z europejskich, jak i azjatyckich materiałów i motywów wizualnych: obiekty dekoracyjne, użytkowe, ryciny, przedstawienia malarskie. W trakcie spotkania przyjrzę się kilku wybranym </w:t>
      </w:r>
      <w:r w:rsidRPr="00586F1D">
        <w:rPr>
          <w:rFonts w:cs="Calibri Light"/>
          <w:bCs/>
          <w:noProof/>
          <w:sz w:val="24"/>
          <w:szCs w:val="24"/>
          <w:lang w:bidi="pl-PL"/>
        </w:rPr>
        <w:lastRenderedPageBreak/>
        <w:t xml:space="preserve">obiektom, ich </w:t>
      </w:r>
      <w:r w:rsidR="007430A8" w:rsidRPr="00586F1D">
        <w:rPr>
          <w:rFonts w:cs="Calibri Light"/>
          <w:bCs/>
          <w:noProof/>
          <w:sz w:val="24"/>
          <w:szCs w:val="24"/>
          <w:lang w:bidi="pl-PL"/>
        </w:rPr>
        <w:t>„</w:t>
      </w:r>
      <w:r w:rsidRPr="00586F1D">
        <w:rPr>
          <w:rFonts w:cs="Calibri Light"/>
          <w:bCs/>
          <w:noProof/>
          <w:sz w:val="24"/>
          <w:szCs w:val="24"/>
          <w:lang w:bidi="pl-PL"/>
        </w:rPr>
        <w:t>europejskim</w:t>
      </w:r>
      <w:r w:rsidR="007430A8" w:rsidRPr="00586F1D">
        <w:rPr>
          <w:rFonts w:cs="Calibri Light"/>
          <w:bCs/>
          <w:noProof/>
          <w:sz w:val="24"/>
          <w:szCs w:val="24"/>
          <w:lang w:bidi="pl-PL"/>
        </w:rPr>
        <w:t>”</w:t>
      </w:r>
      <w:r w:rsidRPr="00586F1D">
        <w:rPr>
          <w:rFonts w:cs="Calibri Light"/>
          <w:bCs/>
          <w:noProof/>
          <w:sz w:val="24"/>
          <w:szCs w:val="24"/>
          <w:lang w:bidi="pl-PL"/>
        </w:rPr>
        <w:t xml:space="preserve"> i </w:t>
      </w:r>
      <w:r w:rsidR="007430A8" w:rsidRPr="00586F1D">
        <w:rPr>
          <w:rFonts w:cs="Calibri Light"/>
          <w:bCs/>
          <w:noProof/>
          <w:sz w:val="24"/>
          <w:szCs w:val="24"/>
          <w:lang w:bidi="pl-PL"/>
        </w:rPr>
        <w:t>„</w:t>
      </w:r>
      <w:r w:rsidRPr="00586F1D">
        <w:rPr>
          <w:rFonts w:cs="Calibri Light"/>
          <w:bCs/>
          <w:noProof/>
          <w:sz w:val="24"/>
          <w:szCs w:val="24"/>
          <w:lang w:bidi="pl-PL"/>
        </w:rPr>
        <w:t>azjatyckim</w:t>
      </w:r>
      <w:r w:rsidR="007430A8" w:rsidRPr="00586F1D">
        <w:rPr>
          <w:rFonts w:cs="Calibri Light"/>
          <w:bCs/>
          <w:noProof/>
          <w:sz w:val="24"/>
          <w:szCs w:val="24"/>
          <w:lang w:bidi="pl-PL"/>
        </w:rPr>
        <w:t>”</w:t>
      </w:r>
      <w:r w:rsidRPr="00586F1D">
        <w:rPr>
          <w:rFonts w:cs="Calibri Light"/>
          <w:bCs/>
          <w:noProof/>
          <w:sz w:val="24"/>
          <w:szCs w:val="24"/>
          <w:lang w:bidi="pl-PL"/>
        </w:rPr>
        <w:t xml:space="preserve"> komponentom, sposobom włączania obcych kulturowo motywów i</w:t>
      </w:r>
      <w:r w:rsidR="00C417BF" w:rsidRPr="00586F1D">
        <w:rPr>
          <w:rFonts w:cs="Calibri Light"/>
          <w:bCs/>
          <w:noProof/>
          <w:sz w:val="24"/>
          <w:szCs w:val="24"/>
          <w:lang w:bidi="pl-PL"/>
        </w:rPr>
        <w:t> </w:t>
      </w:r>
      <w:r w:rsidRPr="00586F1D">
        <w:rPr>
          <w:rFonts w:cs="Calibri Light"/>
          <w:bCs/>
          <w:noProof/>
          <w:sz w:val="24"/>
          <w:szCs w:val="24"/>
          <w:lang w:bidi="pl-PL"/>
        </w:rPr>
        <w:t xml:space="preserve">materiałów w obręb kultury przyjmującej, ich reinterpretacjom oraz sposobowi, w jaki odpowiadały na potrzeby odbiorców.   </w:t>
      </w:r>
    </w:p>
    <w:p w:rsidR="00625976" w:rsidRPr="00586F1D" w:rsidRDefault="00625976" w:rsidP="00625976">
      <w:pPr>
        <w:jc w:val="right"/>
        <w:rPr>
          <w:rFonts w:cs="Calibri Light"/>
          <w:bCs/>
          <w:noProof/>
          <w:sz w:val="24"/>
          <w:szCs w:val="24"/>
          <w:lang w:val="it-IT" w:bidi="pl-PL"/>
        </w:rPr>
      </w:pPr>
      <w:r w:rsidRPr="00586F1D">
        <w:rPr>
          <w:rFonts w:cs="Calibri Light"/>
          <w:bCs/>
          <w:noProof/>
          <w:sz w:val="24"/>
          <w:szCs w:val="24"/>
          <w:lang w:val="it-IT" w:bidi="pl-PL"/>
        </w:rPr>
        <w:t>(1 XII 2020)</w:t>
      </w:r>
    </w:p>
    <w:p w:rsidR="00625976" w:rsidRDefault="00625976" w:rsidP="00625976">
      <w:pPr>
        <w:jc w:val="right"/>
        <w:rPr>
          <w:rFonts w:cs="Calibri Light"/>
          <w:bCs/>
          <w:noProof/>
          <w:sz w:val="24"/>
          <w:szCs w:val="24"/>
          <w:lang w:val="it-IT" w:bidi="pl-PL"/>
        </w:rPr>
      </w:pPr>
    </w:p>
    <w:p w:rsidR="00C62275" w:rsidRPr="00586F1D" w:rsidRDefault="00C62275" w:rsidP="00625976">
      <w:pPr>
        <w:jc w:val="right"/>
        <w:rPr>
          <w:rFonts w:cs="Calibri Light"/>
          <w:bCs/>
          <w:noProof/>
          <w:sz w:val="24"/>
          <w:szCs w:val="24"/>
          <w:lang w:val="it-IT" w:bidi="pl-PL"/>
        </w:rPr>
      </w:pPr>
    </w:p>
    <w:p w:rsidR="00625976" w:rsidRPr="00586F1D" w:rsidRDefault="00625976" w:rsidP="00C62275">
      <w:pPr>
        <w:pStyle w:val="Nagwek2"/>
      </w:pPr>
      <w:bookmarkStart w:id="7" w:name="_Toc178250014"/>
      <w:r w:rsidRPr="00586F1D">
        <w:t xml:space="preserve">Magdalena </w:t>
      </w:r>
      <w:proofErr w:type="spellStart"/>
      <w:r w:rsidRPr="00586F1D">
        <w:t>Hasiuk-Świerzbińska</w:t>
      </w:r>
      <w:proofErr w:type="spellEnd"/>
      <w:r w:rsidR="0061638B" w:rsidRPr="00586F1D">
        <w:t xml:space="preserve"> (IS PAN)</w:t>
      </w:r>
      <w:r w:rsidRPr="00586F1D">
        <w:t>, Wyprawy Teatru Węgajty 1986–2019 – spotkania teatralne na pograniczach</w:t>
      </w:r>
      <w:bookmarkEnd w:id="7"/>
    </w:p>
    <w:p w:rsidR="00625976" w:rsidRPr="00586F1D" w:rsidRDefault="00625976" w:rsidP="00C417BF">
      <w:pPr>
        <w:jc w:val="both"/>
        <w:rPr>
          <w:rFonts w:cs="Calibri Light"/>
          <w:noProof/>
          <w:sz w:val="24"/>
          <w:szCs w:val="24"/>
          <w:lang w:val="it-IT" w:bidi="pl-PL"/>
        </w:rPr>
      </w:pPr>
      <w:r w:rsidRPr="00586F1D">
        <w:rPr>
          <w:rFonts w:cs="Calibri Light"/>
          <w:noProof/>
          <w:sz w:val="24"/>
          <w:szCs w:val="24"/>
          <w:lang w:bidi="pl-PL"/>
        </w:rPr>
        <w:t xml:space="preserve">Od początku istnienia Teatru Węgajty wyprawy stanowią ważną formę jego działalności. Na jej wykształcenie wpłynęły nie tylko wybory artystyczne, ale również doświadczenia migracyjne twórców zespołu </w:t>
      </w:r>
    </w:p>
    <w:p w:rsidR="00625976" w:rsidRPr="00586F1D" w:rsidRDefault="007430A8" w:rsidP="00C417BF">
      <w:pPr>
        <w:jc w:val="both"/>
        <w:rPr>
          <w:rFonts w:cs="Calibri Light"/>
          <w:noProof/>
          <w:sz w:val="24"/>
          <w:szCs w:val="24"/>
          <w:lang w:bidi="pl-PL"/>
        </w:rPr>
      </w:pPr>
      <w:r w:rsidRPr="00586F1D">
        <w:rPr>
          <w:rFonts w:cs="Calibri Light"/>
          <w:noProof/>
          <w:sz w:val="24"/>
          <w:szCs w:val="24"/>
          <w:lang w:bidi="pl-PL"/>
        </w:rPr>
        <w:t>„</w:t>
      </w:r>
      <w:r w:rsidR="00625976" w:rsidRPr="00586F1D">
        <w:rPr>
          <w:rFonts w:cs="Calibri Light"/>
          <w:noProof/>
          <w:sz w:val="24"/>
          <w:szCs w:val="24"/>
          <w:lang w:bidi="pl-PL"/>
        </w:rPr>
        <w:t>Podróż, ruch, bycie gdzie indziej</w:t>
      </w:r>
      <w:r w:rsidRPr="00586F1D">
        <w:rPr>
          <w:rFonts w:cs="Calibri Light"/>
          <w:noProof/>
          <w:sz w:val="24"/>
          <w:szCs w:val="24"/>
          <w:lang w:bidi="pl-PL"/>
        </w:rPr>
        <w:t>”</w:t>
      </w:r>
      <w:r w:rsidR="00625976" w:rsidRPr="00586F1D">
        <w:rPr>
          <w:rFonts w:cs="Calibri Light"/>
          <w:noProof/>
          <w:sz w:val="24"/>
          <w:szCs w:val="24"/>
          <w:lang w:bidi="pl-PL"/>
        </w:rPr>
        <w:t xml:space="preserve"> praktykowane od ponad trzydziestu lat dopełniają sposób pracy gospodarstwa teatralnego zbudowanego na warmińskiej wsi i kierowanego przez Wacława i Erdmute Sobaszków. Wyprawa nie tylko pozwala </w:t>
      </w:r>
      <w:r w:rsidRPr="00586F1D">
        <w:rPr>
          <w:rFonts w:cs="Calibri Light"/>
          <w:noProof/>
          <w:sz w:val="24"/>
          <w:szCs w:val="24"/>
          <w:lang w:bidi="pl-PL"/>
        </w:rPr>
        <w:t>„</w:t>
      </w:r>
      <w:r w:rsidR="00625976" w:rsidRPr="00586F1D">
        <w:rPr>
          <w:rFonts w:cs="Calibri Light"/>
          <w:noProof/>
          <w:sz w:val="24"/>
          <w:szCs w:val="24"/>
          <w:lang w:bidi="pl-PL"/>
        </w:rPr>
        <w:t>doświadczyć czegoś niedomowego: głodu, chłodu, niewygód, chorób, śmierci</w:t>
      </w:r>
      <w:r w:rsidRPr="00586F1D">
        <w:rPr>
          <w:rFonts w:cs="Calibri Light"/>
          <w:noProof/>
          <w:sz w:val="24"/>
          <w:szCs w:val="24"/>
          <w:lang w:bidi="pl-PL"/>
        </w:rPr>
        <w:t>”</w:t>
      </w:r>
      <w:r w:rsidR="00625976" w:rsidRPr="00586F1D">
        <w:rPr>
          <w:rFonts w:cs="Calibri Light"/>
          <w:noProof/>
          <w:sz w:val="24"/>
          <w:szCs w:val="24"/>
          <w:lang w:bidi="pl-PL"/>
        </w:rPr>
        <w:t xml:space="preserve">, </w:t>
      </w:r>
      <w:r w:rsidRPr="00586F1D">
        <w:rPr>
          <w:rFonts w:cs="Calibri Light"/>
          <w:noProof/>
          <w:sz w:val="24"/>
          <w:szCs w:val="24"/>
          <w:lang w:bidi="pl-PL"/>
        </w:rPr>
        <w:t>„</w:t>
      </w:r>
      <w:r w:rsidR="00625976" w:rsidRPr="00586F1D">
        <w:rPr>
          <w:rFonts w:cs="Calibri Light"/>
          <w:noProof/>
          <w:sz w:val="24"/>
          <w:szCs w:val="24"/>
          <w:lang w:bidi="pl-PL"/>
        </w:rPr>
        <w:t>wrócić do sytuacji elementarnej przejść przez rodzaj ‘experimentum crucis’, być bez zabezpieczenia pod gołym niebem, na ziemi twardej</w:t>
      </w:r>
      <w:r w:rsidRPr="00586F1D">
        <w:rPr>
          <w:rFonts w:cs="Calibri Light"/>
          <w:noProof/>
          <w:sz w:val="24"/>
          <w:szCs w:val="24"/>
          <w:lang w:bidi="pl-PL"/>
        </w:rPr>
        <w:t>”</w:t>
      </w:r>
      <w:r w:rsidR="00625976" w:rsidRPr="00586F1D">
        <w:rPr>
          <w:rFonts w:cs="Calibri Light"/>
          <w:noProof/>
          <w:sz w:val="24"/>
          <w:szCs w:val="24"/>
          <w:lang w:bidi="pl-PL"/>
        </w:rPr>
        <w:t xml:space="preserve">, ale również przybyć do obszarów pomijanych, zapomnianych, </w:t>
      </w:r>
      <w:r w:rsidRPr="00586F1D">
        <w:rPr>
          <w:rFonts w:cs="Calibri Light"/>
          <w:noProof/>
          <w:sz w:val="24"/>
          <w:szCs w:val="24"/>
          <w:lang w:bidi="pl-PL"/>
        </w:rPr>
        <w:t>„</w:t>
      </w:r>
      <w:r w:rsidR="00625976" w:rsidRPr="00586F1D">
        <w:rPr>
          <w:rFonts w:cs="Calibri Light"/>
          <w:noProof/>
          <w:sz w:val="24"/>
          <w:szCs w:val="24"/>
          <w:lang w:bidi="pl-PL"/>
        </w:rPr>
        <w:t>ubogich</w:t>
      </w:r>
      <w:r w:rsidRPr="00586F1D">
        <w:rPr>
          <w:rFonts w:cs="Calibri Light"/>
          <w:noProof/>
          <w:sz w:val="24"/>
          <w:szCs w:val="24"/>
          <w:lang w:bidi="pl-PL"/>
        </w:rPr>
        <w:t>”</w:t>
      </w:r>
      <w:r w:rsidR="00625976" w:rsidRPr="00586F1D">
        <w:rPr>
          <w:rFonts w:cs="Calibri Light"/>
          <w:noProof/>
          <w:sz w:val="24"/>
          <w:szCs w:val="24"/>
          <w:lang w:bidi="pl-PL"/>
        </w:rPr>
        <w:t xml:space="preserve">, żeby tutaj się spotkać, </w:t>
      </w:r>
      <w:r w:rsidRPr="00586F1D">
        <w:rPr>
          <w:rFonts w:cs="Calibri Light"/>
          <w:noProof/>
          <w:sz w:val="24"/>
          <w:szCs w:val="24"/>
          <w:lang w:bidi="pl-PL"/>
        </w:rPr>
        <w:t>„</w:t>
      </w:r>
      <w:r w:rsidR="00625976" w:rsidRPr="00586F1D">
        <w:rPr>
          <w:rFonts w:cs="Calibri Light"/>
          <w:noProof/>
          <w:sz w:val="24"/>
          <w:szCs w:val="24"/>
          <w:lang w:bidi="pl-PL"/>
        </w:rPr>
        <w:t>snuć dialog</w:t>
      </w:r>
      <w:r w:rsidRPr="00586F1D">
        <w:rPr>
          <w:rFonts w:cs="Calibri Light"/>
          <w:noProof/>
          <w:sz w:val="24"/>
          <w:szCs w:val="24"/>
          <w:lang w:bidi="pl-PL"/>
        </w:rPr>
        <w:t>”</w:t>
      </w:r>
      <w:r w:rsidR="00625976" w:rsidRPr="00586F1D">
        <w:rPr>
          <w:rFonts w:cs="Calibri Light"/>
          <w:noProof/>
          <w:sz w:val="24"/>
          <w:szCs w:val="24"/>
          <w:lang w:bidi="pl-PL"/>
        </w:rPr>
        <w:t xml:space="preserve">, </w:t>
      </w:r>
      <w:r w:rsidRPr="00586F1D">
        <w:rPr>
          <w:rFonts w:cs="Calibri Light"/>
          <w:noProof/>
          <w:sz w:val="24"/>
          <w:szCs w:val="24"/>
          <w:lang w:bidi="pl-PL"/>
        </w:rPr>
        <w:t>„</w:t>
      </w:r>
      <w:r w:rsidR="00625976" w:rsidRPr="00586F1D">
        <w:rPr>
          <w:rFonts w:cs="Calibri Light"/>
          <w:noProof/>
          <w:sz w:val="24"/>
          <w:szCs w:val="24"/>
          <w:lang w:bidi="pl-PL"/>
        </w:rPr>
        <w:t>być gościem, ‘hostis’, bliskim obcym</w:t>
      </w:r>
      <w:r w:rsidRPr="00586F1D">
        <w:rPr>
          <w:rFonts w:cs="Calibri Light"/>
          <w:noProof/>
          <w:sz w:val="24"/>
          <w:szCs w:val="24"/>
          <w:lang w:bidi="pl-PL"/>
        </w:rPr>
        <w:t>”</w:t>
      </w:r>
      <w:r w:rsidR="00625976" w:rsidRPr="00586F1D">
        <w:rPr>
          <w:rFonts w:cs="Calibri Light"/>
          <w:noProof/>
          <w:sz w:val="24"/>
          <w:szCs w:val="24"/>
          <w:lang w:bidi="pl-PL"/>
        </w:rPr>
        <w:t xml:space="preserve"> (Wacław Sobaszek). Z doświadczeniem obcości wpisanym w teatr, który ze swej natury kwestionuje i podważa różne granice i  hierarchie społeczne, twórcy Teatru Węgajty trafiają/trafiali podczas wypraw przede wszystkim na obszary kulturowych pogranicz oraz do miejsc o silnie zaznaczonej odrębności kulturowej. W Polsce podróżowali/podróżują przede wszystkim w Beskid Niski, na Suwalszczyznę, na Warmię i na Kurpie, w Europie – na Huculszczyznę, do Macedonii, Albanii, Katalonii.</w:t>
      </w:r>
    </w:p>
    <w:p w:rsidR="00625976" w:rsidRPr="00586F1D" w:rsidRDefault="00625976" w:rsidP="00C417BF">
      <w:pPr>
        <w:jc w:val="both"/>
        <w:rPr>
          <w:rFonts w:cs="Calibri Light"/>
          <w:noProof/>
          <w:sz w:val="24"/>
          <w:szCs w:val="24"/>
          <w:lang w:bidi="pl-PL"/>
        </w:rPr>
      </w:pPr>
      <w:r w:rsidRPr="00586F1D">
        <w:rPr>
          <w:rFonts w:cs="Calibri Light"/>
          <w:noProof/>
          <w:sz w:val="24"/>
          <w:szCs w:val="24"/>
          <w:lang w:bidi="pl-PL"/>
        </w:rPr>
        <w:t xml:space="preserve">Wyprawy od początku pełniły różnorodne funkcje: badawcze (dokumentacyjno – reanimacyjne w odniesieniu do </w:t>
      </w:r>
      <w:r w:rsidR="007430A8" w:rsidRPr="00586F1D">
        <w:rPr>
          <w:rFonts w:cs="Calibri Light"/>
          <w:noProof/>
          <w:sz w:val="24"/>
          <w:szCs w:val="24"/>
          <w:lang w:bidi="pl-PL"/>
        </w:rPr>
        <w:t>„</w:t>
      </w:r>
      <w:r w:rsidRPr="00586F1D">
        <w:rPr>
          <w:rFonts w:cs="Calibri Light"/>
          <w:noProof/>
          <w:sz w:val="24"/>
          <w:szCs w:val="24"/>
          <w:lang w:bidi="pl-PL"/>
        </w:rPr>
        <w:t>etnicznych źródeł kultury</w:t>
      </w:r>
      <w:r w:rsidR="007430A8" w:rsidRPr="00586F1D">
        <w:rPr>
          <w:rFonts w:cs="Calibri Light"/>
          <w:noProof/>
          <w:sz w:val="24"/>
          <w:szCs w:val="24"/>
          <w:lang w:bidi="pl-PL"/>
        </w:rPr>
        <w:t>”</w:t>
      </w:r>
      <w:r w:rsidRPr="00586F1D">
        <w:rPr>
          <w:rFonts w:cs="Calibri Light"/>
          <w:noProof/>
          <w:sz w:val="24"/>
          <w:szCs w:val="24"/>
          <w:lang w:bidi="pl-PL"/>
        </w:rPr>
        <w:t xml:space="preserve">), formacyjne (kształtujące tożsamość artystów i ujawniające tożsamość gospodarzy), społecznotwórcze. Były okazją do czerpania inspiracji artystycznych, ale także testowania pomysłów i rozwiązań teatralnych wobec </w:t>
      </w:r>
      <w:r w:rsidR="007430A8" w:rsidRPr="00586F1D">
        <w:rPr>
          <w:rFonts w:cs="Calibri Light"/>
          <w:noProof/>
          <w:sz w:val="24"/>
          <w:szCs w:val="24"/>
          <w:lang w:bidi="pl-PL"/>
        </w:rPr>
        <w:t>„</w:t>
      </w:r>
      <w:r w:rsidRPr="00586F1D">
        <w:rPr>
          <w:rFonts w:cs="Calibri Light"/>
          <w:noProof/>
          <w:sz w:val="24"/>
          <w:szCs w:val="24"/>
          <w:lang w:bidi="pl-PL"/>
        </w:rPr>
        <w:t>niezwyczajnej publiczności</w:t>
      </w:r>
      <w:r w:rsidR="007430A8" w:rsidRPr="00586F1D">
        <w:rPr>
          <w:rFonts w:cs="Calibri Light"/>
          <w:noProof/>
          <w:sz w:val="24"/>
          <w:szCs w:val="24"/>
          <w:lang w:bidi="pl-PL"/>
        </w:rPr>
        <w:t>”</w:t>
      </w:r>
      <w:r w:rsidRPr="00586F1D">
        <w:rPr>
          <w:rFonts w:cs="Calibri Light"/>
          <w:noProof/>
          <w:sz w:val="24"/>
          <w:szCs w:val="24"/>
          <w:lang w:bidi="pl-PL"/>
        </w:rPr>
        <w:t>.</w:t>
      </w:r>
    </w:p>
    <w:p w:rsidR="00625976" w:rsidRPr="00586F1D" w:rsidRDefault="00625976" w:rsidP="00C417BF">
      <w:pPr>
        <w:jc w:val="both"/>
        <w:rPr>
          <w:rFonts w:cs="Calibri Light"/>
          <w:noProof/>
          <w:sz w:val="24"/>
          <w:szCs w:val="24"/>
          <w:lang w:bidi="pl-PL"/>
        </w:rPr>
      </w:pPr>
      <w:r w:rsidRPr="00586F1D">
        <w:rPr>
          <w:rFonts w:cs="Calibri Light"/>
          <w:noProof/>
          <w:sz w:val="24"/>
          <w:szCs w:val="24"/>
          <w:lang w:bidi="pl-PL"/>
        </w:rPr>
        <w:t xml:space="preserve">Przyglądając się wyprawom Teatru Węgajty pragnę posłużyć się terminem </w:t>
      </w:r>
      <w:r w:rsidR="007430A8" w:rsidRPr="00586F1D">
        <w:rPr>
          <w:rFonts w:cs="Calibri Light"/>
          <w:noProof/>
          <w:sz w:val="24"/>
          <w:szCs w:val="24"/>
          <w:lang w:bidi="pl-PL"/>
        </w:rPr>
        <w:t>„</w:t>
      </w:r>
      <w:r w:rsidRPr="00586F1D">
        <w:rPr>
          <w:rFonts w:cs="Calibri Light"/>
          <w:noProof/>
          <w:sz w:val="24"/>
          <w:szCs w:val="24"/>
          <w:lang w:bidi="pl-PL"/>
        </w:rPr>
        <w:t>ekotonu</w:t>
      </w:r>
      <w:r w:rsidR="007430A8" w:rsidRPr="00586F1D">
        <w:rPr>
          <w:rFonts w:cs="Calibri Light"/>
          <w:noProof/>
          <w:sz w:val="24"/>
          <w:szCs w:val="24"/>
          <w:lang w:bidi="pl-PL"/>
        </w:rPr>
        <w:t>”</w:t>
      </w:r>
      <w:r w:rsidRPr="00586F1D">
        <w:rPr>
          <w:rFonts w:cs="Calibri Light"/>
          <w:noProof/>
          <w:sz w:val="24"/>
          <w:szCs w:val="24"/>
          <w:lang w:bidi="pl-PL"/>
        </w:rPr>
        <w:t xml:space="preserve"> przejętym z ekologii (Ewa Kępa, 2019) i potraktować je jak narzędzie kształtowania efemerycznej przestrzeni, którą cechuje </w:t>
      </w:r>
      <w:r w:rsidR="007430A8" w:rsidRPr="00586F1D">
        <w:rPr>
          <w:rFonts w:cs="Calibri Light"/>
          <w:noProof/>
          <w:sz w:val="24"/>
          <w:szCs w:val="24"/>
          <w:lang w:bidi="pl-PL"/>
        </w:rPr>
        <w:t>„</w:t>
      </w:r>
      <w:r w:rsidRPr="00586F1D">
        <w:rPr>
          <w:rFonts w:cs="Calibri Light"/>
          <w:noProof/>
          <w:sz w:val="24"/>
          <w:szCs w:val="24"/>
          <w:lang w:bidi="pl-PL"/>
        </w:rPr>
        <w:t>różnorodność, odporność, napięcie i zdolność adaptacji</w:t>
      </w:r>
      <w:r w:rsidR="007430A8" w:rsidRPr="00586F1D">
        <w:rPr>
          <w:rFonts w:cs="Calibri Light"/>
          <w:noProof/>
          <w:sz w:val="24"/>
          <w:szCs w:val="24"/>
          <w:lang w:bidi="pl-PL"/>
        </w:rPr>
        <w:t>”</w:t>
      </w:r>
      <w:r w:rsidRPr="00586F1D">
        <w:rPr>
          <w:rFonts w:cs="Calibri Light"/>
          <w:noProof/>
          <w:sz w:val="24"/>
          <w:szCs w:val="24"/>
          <w:lang w:bidi="pl-PL"/>
        </w:rPr>
        <w:t xml:space="preserve">. Wyprawy Teatru Węgajty to specyficzne doświadczenie egzystencjalno-artystyczne, dzięki któremu możliwe staje się spotkanie </w:t>
      </w:r>
      <w:r w:rsidR="007430A8" w:rsidRPr="00586F1D">
        <w:rPr>
          <w:rFonts w:cs="Calibri Light"/>
          <w:noProof/>
          <w:sz w:val="24"/>
          <w:szCs w:val="24"/>
          <w:lang w:bidi="pl-PL"/>
        </w:rPr>
        <w:t>„</w:t>
      </w:r>
      <w:r w:rsidRPr="00586F1D">
        <w:rPr>
          <w:rFonts w:cs="Calibri Light"/>
          <w:noProof/>
          <w:sz w:val="24"/>
          <w:szCs w:val="24"/>
          <w:lang w:bidi="pl-PL"/>
        </w:rPr>
        <w:t>tego, co na co dzień pozostaje oddzielone, co z pozoru trwa w odrębnych obszarach istnienia</w:t>
      </w:r>
      <w:r w:rsidR="007430A8" w:rsidRPr="00586F1D">
        <w:rPr>
          <w:rFonts w:cs="Calibri Light"/>
          <w:noProof/>
          <w:sz w:val="24"/>
          <w:szCs w:val="24"/>
          <w:lang w:bidi="pl-PL"/>
        </w:rPr>
        <w:t>”</w:t>
      </w:r>
      <w:r w:rsidRPr="00586F1D">
        <w:rPr>
          <w:rFonts w:cs="Calibri Light"/>
          <w:noProof/>
          <w:sz w:val="24"/>
          <w:szCs w:val="24"/>
          <w:lang w:bidi="pl-PL"/>
        </w:rPr>
        <w:t>.</w:t>
      </w:r>
    </w:p>
    <w:p w:rsidR="00625976" w:rsidRPr="00586F1D" w:rsidRDefault="00662706" w:rsidP="0061638B">
      <w:pPr>
        <w:jc w:val="right"/>
        <w:rPr>
          <w:rFonts w:cs="Calibri Light"/>
          <w:noProof/>
          <w:sz w:val="24"/>
          <w:szCs w:val="24"/>
          <w:lang w:bidi="pl-PL"/>
        </w:rPr>
      </w:pPr>
      <w:r w:rsidRPr="00586F1D">
        <w:rPr>
          <w:rFonts w:cs="Calibri Light"/>
          <w:noProof/>
          <w:sz w:val="24"/>
          <w:szCs w:val="24"/>
          <w:lang w:bidi="pl-PL"/>
        </w:rPr>
        <w:t>(12 I 2021)</w:t>
      </w:r>
    </w:p>
    <w:p w:rsidR="00662706" w:rsidRDefault="00662706" w:rsidP="00662706">
      <w:pPr>
        <w:rPr>
          <w:rFonts w:cs="Calibri Light"/>
          <w:sz w:val="24"/>
          <w:szCs w:val="24"/>
          <w:lang w:bidi="pl-PL"/>
        </w:rPr>
      </w:pPr>
    </w:p>
    <w:p w:rsidR="00C62275" w:rsidRPr="00586F1D" w:rsidRDefault="00C62275" w:rsidP="00662706">
      <w:pPr>
        <w:rPr>
          <w:rFonts w:cs="Calibri Light"/>
          <w:sz w:val="24"/>
          <w:szCs w:val="24"/>
          <w:lang w:bidi="pl-PL"/>
        </w:rPr>
      </w:pPr>
    </w:p>
    <w:p w:rsidR="00662706" w:rsidRPr="00586F1D" w:rsidRDefault="00662706" w:rsidP="00C62275">
      <w:pPr>
        <w:pStyle w:val="Nagwek2"/>
      </w:pPr>
      <w:bookmarkStart w:id="8" w:name="_Toc178250015"/>
      <w:r w:rsidRPr="00586F1D">
        <w:lastRenderedPageBreak/>
        <w:t>Jolanta Guzy-Pasiak</w:t>
      </w:r>
      <w:r w:rsidR="0061638B" w:rsidRPr="00586F1D">
        <w:t xml:space="preserve"> (IS PAN)</w:t>
      </w:r>
      <w:r w:rsidRPr="00586F1D">
        <w:t>, Beata Bolesławska-Lewandowska</w:t>
      </w:r>
      <w:r w:rsidR="0061638B" w:rsidRPr="00586F1D">
        <w:t xml:space="preserve"> (IS PAN</w:t>
      </w:r>
      <w:r w:rsidR="0061638B" w:rsidRPr="00C62275">
        <w:t>)</w:t>
      </w:r>
      <w:r w:rsidR="00586F1D" w:rsidRPr="00C62275">
        <w:t xml:space="preserve">, </w:t>
      </w:r>
      <w:r w:rsidRPr="00C62275">
        <w:t>Migracje spuścizn kompozytorów polskich</w:t>
      </w:r>
      <w:bookmarkEnd w:id="8"/>
    </w:p>
    <w:p w:rsidR="00662706" w:rsidRPr="00586F1D" w:rsidRDefault="00662706" w:rsidP="00662706">
      <w:pPr>
        <w:pStyle w:val="Wyrnienieoferty"/>
        <w:rPr>
          <w:rFonts w:cs="Calibri Light"/>
          <w:sz w:val="24"/>
          <w:szCs w:val="24"/>
          <w:lang w:eastAsia="pl-PL"/>
        </w:rPr>
      </w:pPr>
      <w:r w:rsidRPr="00586F1D">
        <w:rPr>
          <w:rFonts w:cs="Calibri Light"/>
          <w:sz w:val="24"/>
          <w:szCs w:val="24"/>
          <w:shd w:val="clear" w:color="auto" w:fill="FFFFFF"/>
          <w:lang w:eastAsia="pl-PL"/>
        </w:rPr>
        <w:t>I.</w:t>
      </w:r>
      <w:r w:rsidRPr="00586F1D">
        <w:rPr>
          <w:rFonts w:cs="Calibri Light"/>
          <w:sz w:val="24"/>
          <w:szCs w:val="24"/>
          <w:lang w:eastAsia="pl-PL"/>
        </w:rPr>
        <w:t xml:space="preserve"> Przypadek Ludomira Michała Rogowskiego (1881–1954) i Karola </w:t>
      </w:r>
      <w:proofErr w:type="spellStart"/>
      <w:r w:rsidRPr="00586F1D">
        <w:rPr>
          <w:rFonts w:cs="Calibri Light"/>
          <w:sz w:val="24"/>
          <w:szCs w:val="24"/>
          <w:lang w:eastAsia="pl-PL"/>
        </w:rPr>
        <w:t>Rathausa</w:t>
      </w:r>
      <w:proofErr w:type="spellEnd"/>
      <w:r w:rsidRPr="00586F1D">
        <w:rPr>
          <w:rFonts w:cs="Calibri Light"/>
          <w:sz w:val="24"/>
          <w:szCs w:val="24"/>
          <w:lang w:eastAsia="pl-PL"/>
        </w:rPr>
        <w:t xml:space="preserve"> (1895–1954)</w:t>
      </w:r>
    </w:p>
    <w:p w:rsidR="00662706" w:rsidRPr="00586F1D" w:rsidRDefault="00662706" w:rsidP="00C417BF">
      <w:pPr>
        <w:jc w:val="both"/>
        <w:rPr>
          <w:rFonts w:cs="Calibri Light"/>
          <w:sz w:val="24"/>
          <w:szCs w:val="24"/>
          <w:lang w:eastAsia="pl-PL"/>
        </w:rPr>
      </w:pPr>
      <w:r w:rsidRPr="00586F1D">
        <w:rPr>
          <w:rFonts w:cs="Calibri Light"/>
          <w:sz w:val="24"/>
          <w:szCs w:val="24"/>
          <w:lang w:eastAsia="pl-PL"/>
        </w:rPr>
        <w:t>Studia twórczości emigracyjnej, wymagające sporych nakładów czasu, pracy i pieniędzy, postępują często wolniej, niż badania nad twórczością krajową. Rzadko się bowiem zdarza, by rękopisy, opublikowane utwory i teksty o muzyce kompozytorów emigracyjnych znajdowały się w jednym miejscu, nie wspominając o innego typu dokumentach, takich jak, programy i recenzje koncertów, korespondencja prywatna i oficjalna, fotografie. </w:t>
      </w:r>
    </w:p>
    <w:p w:rsidR="00662706" w:rsidRPr="00586F1D" w:rsidRDefault="00662706" w:rsidP="00C417BF">
      <w:pPr>
        <w:jc w:val="both"/>
        <w:rPr>
          <w:rFonts w:cs="Calibri Light"/>
          <w:sz w:val="24"/>
          <w:szCs w:val="24"/>
          <w:lang w:eastAsia="pl-PL"/>
        </w:rPr>
      </w:pPr>
      <w:r w:rsidRPr="00586F1D">
        <w:rPr>
          <w:rFonts w:cs="Calibri Light"/>
          <w:sz w:val="24"/>
          <w:szCs w:val="24"/>
          <w:lang w:eastAsia="pl-PL"/>
        </w:rPr>
        <w:t xml:space="preserve">Rozproszenie tej spuścizny na świecie, niedogodne co prawda dla badaczy, ma zasadnicze skutki dla recepcji muzyki polskich kompozytorów. Jednym z nich, istotnym w kontekście rozważań nad kwestią transferu kulturowego, jest stała obecność i oddziaływanie kultur: polskiej – w nowej Ojczyźnie twórcy i obcej – w naszym kraju. Problem ten przedstawię na przykładzie twórczości Ludomira Michała Rogowskiego, związanego z Chorwacją i Karola </w:t>
      </w:r>
      <w:proofErr w:type="spellStart"/>
      <w:r w:rsidRPr="00586F1D">
        <w:rPr>
          <w:rFonts w:cs="Calibri Light"/>
          <w:sz w:val="24"/>
          <w:szCs w:val="24"/>
          <w:lang w:eastAsia="pl-PL"/>
        </w:rPr>
        <w:t>Rathausa</w:t>
      </w:r>
      <w:proofErr w:type="spellEnd"/>
      <w:r w:rsidRPr="00586F1D">
        <w:rPr>
          <w:rFonts w:cs="Calibri Light"/>
          <w:sz w:val="24"/>
          <w:szCs w:val="24"/>
          <w:lang w:eastAsia="pl-PL"/>
        </w:rPr>
        <w:t xml:space="preserve"> – ze Stanami Zjednoczonymi. </w:t>
      </w:r>
    </w:p>
    <w:p w:rsidR="00C417BF" w:rsidRPr="00586F1D" w:rsidRDefault="00C417BF" w:rsidP="00C417BF">
      <w:pPr>
        <w:jc w:val="both"/>
        <w:rPr>
          <w:rFonts w:cs="Calibri Light"/>
          <w:sz w:val="24"/>
          <w:szCs w:val="24"/>
          <w:lang w:eastAsia="pl-PL"/>
        </w:rPr>
      </w:pPr>
    </w:p>
    <w:p w:rsidR="00662706" w:rsidRPr="00586F1D" w:rsidRDefault="00662706" w:rsidP="00C417BF">
      <w:pPr>
        <w:pStyle w:val="Wyrnienieoferty"/>
        <w:jc w:val="both"/>
        <w:rPr>
          <w:rFonts w:cs="Calibri Light"/>
          <w:color w:val="7F7F7F" w:themeColor="text1" w:themeTint="80"/>
          <w:sz w:val="24"/>
          <w:szCs w:val="24"/>
          <w:lang w:eastAsia="pl-PL"/>
        </w:rPr>
      </w:pPr>
      <w:r w:rsidRPr="00586F1D">
        <w:rPr>
          <w:rFonts w:cs="Calibri Light"/>
          <w:sz w:val="24"/>
          <w:szCs w:val="24"/>
          <w:lang w:eastAsia="pl-PL"/>
        </w:rPr>
        <w:t>II. Przypadek Andrzeja Panufnika (1914–1991) i Zygmunta Mycielskiego (1907–1987)</w:t>
      </w:r>
    </w:p>
    <w:p w:rsidR="00662706" w:rsidRPr="00586F1D" w:rsidRDefault="00662706" w:rsidP="00C417BF">
      <w:pPr>
        <w:jc w:val="both"/>
        <w:rPr>
          <w:rFonts w:cs="Calibri Light"/>
          <w:sz w:val="24"/>
          <w:szCs w:val="24"/>
          <w:lang w:eastAsia="pl-PL"/>
        </w:rPr>
      </w:pPr>
      <w:r w:rsidRPr="00586F1D">
        <w:rPr>
          <w:rFonts w:cs="Calibri Light"/>
          <w:sz w:val="24"/>
          <w:szCs w:val="24"/>
          <w:lang w:eastAsia="pl-PL"/>
        </w:rPr>
        <w:t>Każdy badacz życia i działalności wybranego twórcy staje prędzej czy później w obliczu zapoznania się z pozostawioną przez niego spuścizną. A spuścizna ta może być bardzo różnorodna. Nie chodzi tu bowiem wyłącznie o zachowane dzieła – w przypadku kompozytora są to partytury jego utworów – ale i o wszelkie inne dokumenty mówiące o jego życiu i przejawach aktywności na polu twórczym, ale także społecznym, a nawet towarzyskim czy rodzinnym. Dopiero wszystkie te elementy zebrane razem dać mogą możliwie wszechstronny obraz biografii i osobowości twórcy, a także dziejów powstania kolejnych jego kompozycji.</w:t>
      </w:r>
    </w:p>
    <w:p w:rsidR="00662706" w:rsidRPr="00586F1D" w:rsidRDefault="00662706" w:rsidP="00C417BF">
      <w:pPr>
        <w:jc w:val="both"/>
        <w:rPr>
          <w:rFonts w:cs="Calibri Light"/>
          <w:sz w:val="24"/>
          <w:szCs w:val="24"/>
          <w:lang w:eastAsia="pl-PL"/>
        </w:rPr>
      </w:pPr>
      <w:r w:rsidRPr="00586F1D">
        <w:rPr>
          <w:rFonts w:cs="Calibri Light"/>
          <w:sz w:val="24"/>
          <w:szCs w:val="24"/>
          <w:lang w:eastAsia="pl-PL"/>
        </w:rPr>
        <w:t>Dotarcie do zachowanych dokumentów i materiałów archiwalnych nie zawsze jest zadaniem łatwym. Poza oficjalnie dostępnymi archiwami różnego rodzaju instytucji zawodowo zajmujących się dokumentacją życia twórców, w przypadku badań dotyczących artystów działających w II połowie XX wieku, często mamy też do czynienia z tzw. archiwami prywatnymi. Na przykładzie dwóch zaprzyjaźnionych kompozytorów: Andrzeja Panufnika i Zygmunta Mycielskiego chciałabym przyjrzeć się najważniejszym kwestiom związanym z badaniem pozostawionych przez nich spuścizn – zarówno w kontekście emigracji twórcy (Panufnik od 1954 roku mieszkał w Wielkiej Brytanii), jak też pytań związanych z transferem kulturowym oraz uzupełnianiem się i krzyżowaniem obu spuścizn.  </w:t>
      </w:r>
    </w:p>
    <w:p w:rsidR="00662706" w:rsidRPr="00586F1D" w:rsidRDefault="00662706" w:rsidP="00662706">
      <w:pPr>
        <w:jc w:val="right"/>
        <w:rPr>
          <w:rFonts w:cs="Calibri Light"/>
          <w:sz w:val="24"/>
          <w:szCs w:val="24"/>
          <w:lang w:eastAsia="pl-PL"/>
        </w:rPr>
      </w:pPr>
      <w:r w:rsidRPr="00586F1D">
        <w:rPr>
          <w:rFonts w:cs="Calibri Light"/>
          <w:sz w:val="24"/>
          <w:szCs w:val="24"/>
          <w:lang w:eastAsia="pl-PL"/>
        </w:rPr>
        <w:t>(9 II 2021)</w:t>
      </w:r>
    </w:p>
    <w:p w:rsidR="005B7585" w:rsidRDefault="005B7585" w:rsidP="00662706">
      <w:pPr>
        <w:jc w:val="right"/>
        <w:rPr>
          <w:rFonts w:cs="Calibri Light"/>
          <w:sz w:val="24"/>
          <w:szCs w:val="24"/>
          <w:lang w:eastAsia="pl-PL"/>
        </w:rPr>
      </w:pPr>
    </w:p>
    <w:p w:rsidR="00C62275" w:rsidRPr="00586F1D" w:rsidRDefault="00C62275" w:rsidP="00662706">
      <w:pPr>
        <w:jc w:val="right"/>
        <w:rPr>
          <w:rFonts w:cs="Calibri Light"/>
          <w:sz w:val="24"/>
          <w:szCs w:val="24"/>
          <w:lang w:eastAsia="pl-PL"/>
        </w:rPr>
      </w:pPr>
    </w:p>
    <w:p w:rsidR="00662706" w:rsidRPr="00586F1D" w:rsidRDefault="00662706" w:rsidP="00C62275">
      <w:pPr>
        <w:pStyle w:val="Nagwek2"/>
      </w:pPr>
      <w:bookmarkStart w:id="9" w:name="_Toc178250016"/>
      <w:r w:rsidRPr="00586F1D">
        <w:lastRenderedPageBreak/>
        <w:t xml:space="preserve">Weronika </w:t>
      </w:r>
      <w:proofErr w:type="spellStart"/>
      <w:r w:rsidRPr="00586F1D">
        <w:t>Grozdew</w:t>
      </w:r>
      <w:proofErr w:type="spellEnd"/>
      <w:r w:rsidRPr="00586F1D">
        <w:t>-Kołacińska</w:t>
      </w:r>
      <w:r w:rsidR="0061638B" w:rsidRPr="00586F1D">
        <w:t xml:space="preserve"> (IS PAN)</w:t>
      </w:r>
      <w:r w:rsidRPr="00586F1D">
        <w:t>, Swoje = obce / obce = swoje? Śpiew jako wędrowiec, czyli o transferze, granicach, doświadczaniu i tożsamości z polsko-bułgarskiej perspektywy</w:t>
      </w:r>
      <w:bookmarkEnd w:id="9"/>
    </w:p>
    <w:p w:rsidR="00662706" w:rsidRPr="00586F1D" w:rsidRDefault="007430A8" w:rsidP="00C417BF">
      <w:pPr>
        <w:jc w:val="both"/>
        <w:rPr>
          <w:rFonts w:cs="Calibri Light"/>
          <w:noProof/>
          <w:sz w:val="24"/>
          <w:szCs w:val="24"/>
          <w:lang w:bidi="pl-PL"/>
        </w:rPr>
      </w:pPr>
      <w:r w:rsidRPr="00586F1D">
        <w:rPr>
          <w:rFonts w:cs="Calibri Light"/>
          <w:noProof/>
          <w:sz w:val="24"/>
          <w:szCs w:val="24"/>
          <w:lang w:bidi="pl-PL"/>
        </w:rPr>
        <w:t>„</w:t>
      </w:r>
      <w:r w:rsidR="00662706" w:rsidRPr="00586F1D">
        <w:rPr>
          <w:rFonts w:cs="Calibri Light"/>
          <w:noProof/>
          <w:sz w:val="24"/>
          <w:szCs w:val="24"/>
          <w:lang w:bidi="pl-PL"/>
        </w:rPr>
        <w:t>Czyja jest ta pieśń?</w:t>
      </w:r>
      <w:r w:rsidRPr="00586F1D">
        <w:rPr>
          <w:rFonts w:cs="Calibri Light"/>
          <w:noProof/>
          <w:sz w:val="24"/>
          <w:szCs w:val="24"/>
          <w:lang w:bidi="pl-PL"/>
        </w:rPr>
        <w:t>”</w:t>
      </w:r>
      <w:r w:rsidR="00662706" w:rsidRPr="00586F1D">
        <w:rPr>
          <w:rFonts w:cs="Calibri Light"/>
          <w:noProof/>
          <w:sz w:val="24"/>
          <w:szCs w:val="24"/>
          <w:lang w:bidi="pl-PL"/>
        </w:rPr>
        <w:t xml:space="preserve"> – pyta, w tragikomicznym dokumencie pod tym samym tytułem, reżyserka Adela Peewa swoich rozmówców i siebie samą. Pieśń była </w:t>
      </w:r>
      <w:r w:rsidRPr="00586F1D">
        <w:rPr>
          <w:rFonts w:cs="Calibri Light"/>
          <w:noProof/>
          <w:sz w:val="24"/>
          <w:szCs w:val="24"/>
          <w:lang w:bidi="pl-PL"/>
        </w:rPr>
        <w:t>„</w:t>
      </w:r>
      <w:r w:rsidR="00662706" w:rsidRPr="00586F1D">
        <w:rPr>
          <w:rFonts w:cs="Calibri Light"/>
          <w:noProof/>
          <w:sz w:val="24"/>
          <w:szCs w:val="24"/>
          <w:lang w:bidi="pl-PL"/>
        </w:rPr>
        <w:t>tutaj</w:t>
      </w:r>
      <w:r w:rsidRPr="00586F1D">
        <w:rPr>
          <w:rFonts w:cs="Calibri Light"/>
          <w:noProof/>
          <w:sz w:val="24"/>
          <w:szCs w:val="24"/>
          <w:lang w:bidi="pl-PL"/>
        </w:rPr>
        <w:t>”</w:t>
      </w:r>
      <w:r w:rsidR="00662706" w:rsidRPr="00586F1D">
        <w:rPr>
          <w:rFonts w:cs="Calibri Light"/>
          <w:noProof/>
          <w:sz w:val="24"/>
          <w:szCs w:val="24"/>
          <w:lang w:bidi="pl-PL"/>
        </w:rPr>
        <w:t xml:space="preserve"> i jest </w:t>
      </w:r>
      <w:r w:rsidRPr="00586F1D">
        <w:rPr>
          <w:rFonts w:cs="Calibri Light"/>
          <w:noProof/>
          <w:sz w:val="24"/>
          <w:szCs w:val="24"/>
          <w:lang w:bidi="pl-PL"/>
        </w:rPr>
        <w:t>„</w:t>
      </w:r>
      <w:r w:rsidR="00662706" w:rsidRPr="00586F1D">
        <w:rPr>
          <w:rFonts w:cs="Calibri Light"/>
          <w:noProof/>
          <w:sz w:val="24"/>
          <w:szCs w:val="24"/>
          <w:lang w:bidi="pl-PL"/>
        </w:rPr>
        <w:t>nasza</w:t>
      </w:r>
      <w:r w:rsidRPr="00586F1D">
        <w:rPr>
          <w:rFonts w:cs="Calibri Light"/>
          <w:noProof/>
          <w:sz w:val="24"/>
          <w:szCs w:val="24"/>
          <w:lang w:bidi="pl-PL"/>
        </w:rPr>
        <w:t>”</w:t>
      </w:r>
      <w:r w:rsidR="00662706" w:rsidRPr="00586F1D">
        <w:rPr>
          <w:rFonts w:cs="Calibri Light"/>
          <w:noProof/>
          <w:sz w:val="24"/>
          <w:szCs w:val="24"/>
          <w:lang w:bidi="pl-PL"/>
        </w:rPr>
        <w:t xml:space="preserve"> od zawsze, ale te liczne </w:t>
      </w:r>
      <w:r w:rsidRPr="00586F1D">
        <w:rPr>
          <w:rFonts w:cs="Calibri Light"/>
          <w:noProof/>
          <w:sz w:val="24"/>
          <w:szCs w:val="24"/>
          <w:lang w:bidi="pl-PL"/>
        </w:rPr>
        <w:t>„</w:t>
      </w:r>
      <w:r w:rsidR="00662706" w:rsidRPr="00586F1D">
        <w:rPr>
          <w:rFonts w:cs="Calibri Light"/>
          <w:noProof/>
          <w:sz w:val="24"/>
          <w:szCs w:val="24"/>
          <w:lang w:bidi="pl-PL"/>
        </w:rPr>
        <w:t>tutaj</w:t>
      </w:r>
      <w:r w:rsidRPr="00586F1D">
        <w:rPr>
          <w:rFonts w:cs="Calibri Light"/>
          <w:noProof/>
          <w:sz w:val="24"/>
          <w:szCs w:val="24"/>
          <w:lang w:bidi="pl-PL"/>
        </w:rPr>
        <w:t>”</w:t>
      </w:r>
      <w:r w:rsidR="00662706" w:rsidRPr="00586F1D">
        <w:rPr>
          <w:rFonts w:cs="Calibri Light"/>
          <w:noProof/>
          <w:sz w:val="24"/>
          <w:szCs w:val="24"/>
          <w:lang w:bidi="pl-PL"/>
        </w:rPr>
        <w:t xml:space="preserve"> są na mapie geograficznej odległe od siebie o kilkaset kilometrów. </w:t>
      </w:r>
    </w:p>
    <w:p w:rsidR="00662706" w:rsidRPr="00586F1D" w:rsidRDefault="00662706" w:rsidP="00C417BF">
      <w:pPr>
        <w:jc w:val="both"/>
        <w:rPr>
          <w:rFonts w:cs="Calibri Light"/>
          <w:noProof/>
          <w:sz w:val="24"/>
          <w:szCs w:val="24"/>
          <w:lang w:bidi="pl-PL"/>
        </w:rPr>
      </w:pPr>
      <w:r w:rsidRPr="00586F1D">
        <w:rPr>
          <w:rFonts w:cs="Calibri Light"/>
          <w:noProof/>
          <w:sz w:val="24"/>
          <w:szCs w:val="24"/>
          <w:lang w:bidi="pl-PL"/>
        </w:rPr>
        <w:t xml:space="preserve">Na mapie mentalnej – może są jeszcze odleglejsze od siebie, choć przecież bliskie, bo połączone nie tylko przez tę jedną melodię, ale cały kulturowy splot poszarpany jednak różnie definiowanymi granicami. Pieść wędruje przybierając coraz to nowe głosy, które śpiewają swoje historie – albo inne, albo takie same. </w:t>
      </w:r>
    </w:p>
    <w:p w:rsidR="005C6D45" w:rsidRPr="00586F1D" w:rsidRDefault="00662706" w:rsidP="00C417BF">
      <w:pPr>
        <w:jc w:val="both"/>
        <w:rPr>
          <w:rFonts w:cs="Calibri Light"/>
          <w:noProof/>
          <w:sz w:val="24"/>
          <w:szCs w:val="24"/>
          <w:lang w:bidi="pl-PL"/>
        </w:rPr>
      </w:pPr>
      <w:r w:rsidRPr="00586F1D">
        <w:rPr>
          <w:rFonts w:cs="Calibri Light"/>
          <w:noProof/>
          <w:sz w:val="24"/>
          <w:szCs w:val="24"/>
          <w:lang w:bidi="pl-PL"/>
        </w:rPr>
        <w:t xml:space="preserve">Polskie kolędy mają w repertuarze bułgarscy katolicy z okolic Płowdiwu i Swisztowa z dziada pradziada, a mazurki i polki przyniesione przez polskich uchodźców po Wiośnie Ludów i Powstaniu Styczniowym do Szumenu stanowiły ważną część repertuaru pierwszej bułgarskiej orkiestry </w:t>
      </w:r>
      <w:r w:rsidR="007430A8" w:rsidRPr="00586F1D">
        <w:rPr>
          <w:rFonts w:cs="Calibri Light"/>
          <w:noProof/>
          <w:sz w:val="24"/>
          <w:szCs w:val="24"/>
          <w:lang w:bidi="pl-PL"/>
        </w:rPr>
        <w:t>„</w:t>
      </w:r>
      <w:r w:rsidRPr="00586F1D">
        <w:rPr>
          <w:rFonts w:cs="Calibri Light"/>
          <w:noProof/>
          <w:sz w:val="24"/>
          <w:szCs w:val="24"/>
          <w:lang w:bidi="pl-PL"/>
        </w:rPr>
        <w:t>w duchu europejskim</w:t>
      </w:r>
      <w:r w:rsidR="007430A8" w:rsidRPr="00586F1D">
        <w:rPr>
          <w:rFonts w:cs="Calibri Light"/>
          <w:noProof/>
          <w:sz w:val="24"/>
          <w:szCs w:val="24"/>
          <w:lang w:bidi="pl-PL"/>
        </w:rPr>
        <w:t>”</w:t>
      </w:r>
      <w:r w:rsidRPr="00586F1D">
        <w:rPr>
          <w:rFonts w:cs="Calibri Light"/>
          <w:noProof/>
          <w:sz w:val="24"/>
          <w:szCs w:val="24"/>
          <w:lang w:bidi="pl-PL"/>
        </w:rPr>
        <w:t xml:space="preserve">. Polacy mieli też swój udział w XIX-wiecznym szkolnictwie bułgarskim w zakresie muzyki i chóralistyki. </w:t>
      </w:r>
      <w:r w:rsidR="007430A8" w:rsidRPr="00586F1D">
        <w:rPr>
          <w:rFonts w:cs="Calibri Light"/>
          <w:noProof/>
          <w:sz w:val="24"/>
          <w:szCs w:val="24"/>
          <w:lang w:bidi="pl-PL"/>
        </w:rPr>
        <w:t>„</w:t>
      </w:r>
      <w:r w:rsidRPr="00586F1D">
        <w:rPr>
          <w:rFonts w:cs="Calibri Light"/>
          <w:noProof/>
          <w:sz w:val="24"/>
          <w:szCs w:val="24"/>
          <w:lang w:bidi="pl-PL"/>
        </w:rPr>
        <w:t>Obce</w:t>
      </w:r>
      <w:r w:rsidR="007430A8" w:rsidRPr="00586F1D">
        <w:rPr>
          <w:rFonts w:cs="Calibri Light"/>
          <w:noProof/>
          <w:sz w:val="24"/>
          <w:szCs w:val="24"/>
          <w:lang w:bidi="pl-PL"/>
        </w:rPr>
        <w:t>”</w:t>
      </w:r>
      <w:r w:rsidRPr="00586F1D">
        <w:rPr>
          <w:rFonts w:cs="Calibri Light"/>
          <w:noProof/>
          <w:sz w:val="24"/>
          <w:szCs w:val="24"/>
          <w:lang w:bidi="pl-PL"/>
        </w:rPr>
        <w:t xml:space="preserve"> dość szybko staje się </w:t>
      </w:r>
      <w:r w:rsidR="007430A8" w:rsidRPr="00586F1D">
        <w:rPr>
          <w:rFonts w:cs="Calibri Light"/>
          <w:noProof/>
          <w:sz w:val="24"/>
          <w:szCs w:val="24"/>
          <w:lang w:bidi="pl-PL"/>
        </w:rPr>
        <w:t>„</w:t>
      </w:r>
      <w:r w:rsidRPr="00586F1D">
        <w:rPr>
          <w:rFonts w:cs="Calibri Light"/>
          <w:noProof/>
          <w:sz w:val="24"/>
          <w:szCs w:val="24"/>
          <w:lang w:bidi="pl-PL"/>
        </w:rPr>
        <w:t>swoje</w:t>
      </w:r>
      <w:r w:rsidR="007430A8" w:rsidRPr="00586F1D">
        <w:rPr>
          <w:rFonts w:cs="Calibri Light"/>
          <w:noProof/>
          <w:sz w:val="24"/>
          <w:szCs w:val="24"/>
          <w:lang w:bidi="pl-PL"/>
        </w:rPr>
        <w:t>”</w:t>
      </w:r>
      <w:r w:rsidRPr="00586F1D">
        <w:rPr>
          <w:rFonts w:cs="Calibri Light"/>
          <w:noProof/>
          <w:sz w:val="24"/>
          <w:szCs w:val="24"/>
          <w:lang w:bidi="pl-PL"/>
        </w:rPr>
        <w:t>, ale jeszcze szybsza wydaje się być zbiorowa niepamięć tego procesu, a dociekanie źródła, o ile jest to w ogóle możliwe, może okazać się niewygodne. Współcześnie pieśń wędruje z jeszcze większym impetem, przynoszona zarówn</w:t>
      </w:r>
      <w:r w:rsidR="00C417BF" w:rsidRPr="00586F1D">
        <w:rPr>
          <w:rFonts w:cs="Calibri Light"/>
          <w:noProof/>
          <w:sz w:val="24"/>
          <w:szCs w:val="24"/>
          <w:lang w:bidi="pl-PL"/>
        </w:rPr>
        <w:t>o przez żywy głos ludzki, jak i </w:t>
      </w:r>
      <w:r w:rsidRPr="00586F1D">
        <w:rPr>
          <w:rFonts w:cs="Calibri Light"/>
          <w:noProof/>
          <w:sz w:val="24"/>
          <w:szCs w:val="24"/>
          <w:lang w:bidi="pl-PL"/>
        </w:rPr>
        <w:t xml:space="preserve">przenoszona wirtualnym internetowym medium. Ta bałkańska darzona jest od dawna szczególną estymą zarówno przez polskich (i nie tylko) badaczy, jak i praktyków tradycyjnego i folkowego śpiewu.  </w:t>
      </w:r>
    </w:p>
    <w:p w:rsidR="00662706" w:rsidRPr="00586F1D" w:rsidRDefault="00662706" w:rsidP="00662706">
      <w:pPr>
        <w:jc w:val="right"/>
        <w:rPr>
          <w:rFonts w:cs="Calibri Light"/>
          <w:noProof/>
          <w:sz w:val="24"/>
          <w:szCs w:val="24"/>
          <w:lang w:bidi="pl-PL"/>
        </w:rPr>
      </w:pPr>
      <w:r w:rsidRPr="00586F1D">
        <w:rPr>
          <w:rFonts w:cs="Calibri Light"/>
          <w:noProof/>
          <w:sz w:val="24"/>
          <w:szCs w:val="24"/>
          <w:lang w:bidi="pl-PL"/>
        </w:rPr>
        <w:t>(30 III 2021)</w:t>
      </w:r>
    </w:p>
    <w:p w:rsidR="00662706" w:rsidRDefault="00662706" w:rsidP="00662706">
      <w:pPr>
        <w:jc w:val="right"/>
        <w:rPr>
          <w:rFonts w:cs="Calibri Light"/>
          <w:noProof/>
          <w:sz w:val="24"/>
          <w:szCs w:val="24"/>
          <w:lang w:bidi="pl-PL"/>
        </w:rPr>
      </w:pPr>
    </w:p>
    <w:p w:rsidR="00C62275" w:rsidRPr="00586F1D" w:rsidRDefault="00C62275" w:rsidP="00662706">
      <w:pPr>
        <w:jc w:val="right"/>
        <w:rPr>
          <w:rFonts w:cs="Calibri Light"/>
          <w:noProof/>
          <w:sz w:val="24"/>
          <w:szCs w:val="24"/>
          <w:lang w:bidi="pl-PL"/>
        </w:rPr>
      </w:pPr>
    </w:p>
    <w:p w:rsidR="00662706" w:rsidRPr="00586F1D" w:rsidRDefault="00662706" w:rsidP="00C62275">
      <w:pPr>
        <w:pStyle w:val="Nagwek2"/>
        <w:rPr>
          <w:bCs/>
        </w:rPr>
      </w:pPr>
      <w:bookmarkStart w:id="10" w:name="_Toc178250017"/>
      <w:r w:rsidRPr="00586F1D">
        <w:rPr>
          <w:noProof/>
        </w:rPr>
        <w:t>Krystyna Berkan</w:t>
      </w:r>
      <w:r w:rsidR="0061638B" w:rsidRPr="00586F1D">
        <w:rPr>
          <w:noProof/>
        </w:rPr>
        <w:t xml:space="preserve"> (IS PAN)</w:t>
      </w:r>
      <w:r w:rsidRPr="00586F1D">
        <w:rPr>
          <w:noProof/>
        </w:rPr>
        <w:t xml:space="preserve">, </w:t>
      </w:r>
      <w:r w:rsidRPr="00586F1D">
        <w:t>Irena Lorentowiczówna (1908–1985). Polska scenografka w Paryżu</w:t>
      </w:r>
      <w:bookmarkEnd w:id="10"/>
    </w:p>
    <w:p w:rsidR="00662706" w:rsidRPr="00586F1D" w:rsidRDefault="00662706" w:rsidP="00C417BF">
      <w:pPr>
        <w:jc w:val="both"/>
        <w:rPr>
          <w:rFonts w:cs="Calibri Light"/>
          <w:bCs/>
          <w:noProof/>
          <w:sz w:val="24"/>
          <w:szCs w:val="24"/>
        </w:rPr>
      </w:pPr>
      <w:r w:rsidRPr="00586F1D">
        <w:rPr>
          <w:rFonts w:cs="Calibri Light"/>
          <w:bCs/>
          <w:noProof/>
          <w:sz w:val="24"/>
          <w:szCs w:val="24"/>
        </w:rPr>
        <w:t xml:space="preserve">Scenografka i malarka Irena Lorentowiczówna łączona jest z kręgiem </w:t>
      </w:r>
      <w:r w:rsidR="007430A8" w:rsidRPr="00586F1D">
        <w:rPr>
          <w:rFonts w:cs="Calibri Light"/>
          <w:bCs/>
          <w:noProof/>
          <w:sz w:val="24"/>
          <w:szCs w:val="24"/>
        </w:rPr>
        <w:t>„</w:t>
      </w:r>
      <w:r w:rsidRPr="00586F1D">
        <w:rPr>
          <w:rFonts w:cs="Calibri Light"/>
          <w:bCs/>
          <w:noProof/>
          <w:sz w:val="24"/>
          <w:szCs w:val="24"/>
        </w:rPr>
        <w:t>pruszkowiaków</w:t>
      </w:r>
      <w:r w:rsidR="007430A8" w:rsidRPr="00586F1D">
        <w:rPr>
          <w:rFonts w:cs="Calibri Light"/>
          <w:bCs/>
          <w:noProof/>
          <w:sz w:val="24"/>
          <w:szCs w:val="24"/>
        </w:rPr>
        <w:t>”</w:t>
      </w:r>
      <w:r w:rsidRPr="00586F1D">
        <w:rPr>
          <w:rFonts w:cs="Calibri Light"/>
          <w:bCs/>
          <w:noProof/>
          <w:sz w:val="24"/>
          <w:szCs w:val="24"/>
        </w:rPr>
        <w:t xml:space="preserve"> – uczniów Tadeusza Pruszkowskiego i uczestników plenerów w Kazimierzu Dolnym. Należała także do pierwszych w Polsce zawodowych scenografów, absolwentów założonego w roku 1932 Państwowego Instytutu Sztuki Teatralnej.</w:t>
      </w:r>
    </w:p>
    <w:p w:rsidR="00662706" w:rsidRPr="00586F1D" w:rsidRDefault="00662706" w:rsidP="00C417BF">
      <w:pPr>
        <w:jc w:val="both"/>
        <w:rPr>
          <w:rFonts w:cs="Calibri Light"/>
          <w:bCs/>
          <w:noProof/>
          <w:sz w:val="24"/>
          <w:szCs w:val="24"/>
        </w:rPr>
      </w:pPr>
      <w:r w:rsidRPr="00586F1D">
        <w:rPr>
          <w:rFonts w:cs="Calibri Light"/>
          <w:bCs/>
          <w:noProof/>
          <w:sz w:val="24"/>
          <w:szCs w:val="24"/>
        </w:rPr>
        <w:t xml:space="preserve">Początek paryskiego etapu jej twórczości datuje się na rok 1935, gdy wygrała konkurs na projekt scenografii do Harnasiów Karola Szymanowskiego w Opéra de Paris (reżyseria: Leon Schiller, choreografia: Serge Lifar). W roku 1936 otrzymała stypendium rządu francuskiego i pozostała tam do roku 1940 gdy wraz z innymi przedstawicielami diaspory polskiej </w:t>
      </w:r>
      <w:r w:rsidR="00C417BF" w:rsidRPr="00586F1D">
        <w:rPr>
          <w:rFonts w:cs="Calibri Light"/>
          <w:bCs/>
          <w:noProof/>
          <w:sz w:val="24"/>
          <w:szCs w:val="24"/>
        </w:rPr>
        <w:t>zmuszona była przez Hiszpanię i </w:t>
      </w:r>
      <w:r w:rsidRPr="00586F1D">
        <w:rPr>
          <w:rFonts w:cs="Calibri Light"/>
          <w:bCs/>
          <w:noProof/>
          <w:sz w:val="24"/>
          <w:szCs w:val="24"/>
        </w:rPr>
        <w:t xml:space="preserve">Portugalię udać się do Stanów Zjednoczonych. Podczas pobytu w Paryżu Lorentowiczówna zaprojektowała, oprócz </w:t>
      </w:r>
      <w:r w:rsidRPr="00586F1D">
        <w:rPr>
          <w:rFonts w:cs="Calibri Light"/>
          <w:bCs/>
          <w:i/>
          <w:noProof/>
          <w:sz w:val="24"/>
          <w:szCs w:val="24"/>
        </w:rPr>
        <w:t>Harnasiów</w:t>
      </w:r>
      <w:r w:rsidRPr="00586F1D">
        <w:rPr>
          <w:rFonts w:cs="Calibri Light"/>
          <w:bCs/>
          <w:noProof/>
          <w:sz w:val="24"/>
          <w:szCs w:val="24"/>
        </w:rPr>
        <w:t>, scenografię dla Polskiego Baletu Reprezentacyjnego (</w:t>
      </w:r>
      <w:r w:rsidRPr="00586F1D">
        <w:rPr>
          <w:rFonts w:cs="Calibri Light"/>
          <w:bCs/>
          <w:i/>
          <w:noProof/>
          <w:sz w:val="24"/>
          <w:szCs w:val="24"/>
        </w:rPr>
        <w:t>Powrót</w:t>
      </w:r>
      <w:r w:rsidRPr="00586F1D">
        <w:rPr>
          <w:rFonts w:cs="Calibri Light"/>
          <w:bCs/>
          <w:noProof/>
          <w:sz w:val="24"/>
          <w:szCs w:val="24"/>
        </w:rPr>
        <w:t>/</w:t>
      </w:r>
      <w:r w:rsidRPr="00586F1D">
        <w:rPr>
          <w:rFonts w:cs="Calibri Light"/>
          <w:bCs/>
          <w:i/>
          <w:noProof/>
          <w:sz w:val="24"/>
          <w:szCs w:val="24"/>
        </w:rPr>
        <w:t>Wezwanie do muzyki</w:t>
      </w:r>
      <w:r w:rsidRPr="00586F1D">
        <w:rPr>
          <w:rFonts w:cs="Calibri Light"/>
          <w:bCs/>
          <w:noProof/>
          <w:sz w:val="24"/>
          <w:szCs w:val="24"/>
        </w:rPr>
        <w:t xml:space="preserve"> Bolesława Woytowicza, choreografia: Bronisława Niżyńska, 1937 r.) oraz </w:t>
      </w:r>
      <w:r w:rsidRPr="00586F1D">
        <w:rPr>
          <w:rFonts w:cs="Calibri Light"/>
          <w:bCs/>
          <w:i/>
          <w:noProof/>
          <w:sz w:val="24"/>
          <w:szCs w:val="24"/>
        </w:rPr>
        <w:t>do Uciekła mi przepióreczka</w:t>
      </w:r>
      <w:r w:rsidRPr="00586F1D">
        <w:rPr>
          <w:rFonts w:cs="Calibri Light"/>
          <w:bCs/>
          <w:noProof/>
          <w:sz w:val="24"/>
          <w:szCs w:val="24"/>
        </w:rPr>
        <w:t xml:space="preserve"> Stefana Żeromskiego w 1940 w wykonaniu emigracyjnego Teatru Polskiego. Słabiej rozpoznanym tematem jest jej współpraca z reżyserami francuskimi, między innymi z Louisem Jouvetem.</w:t>
      </w:r>
    </w:p>
    <w:p w:rsidR="00662706" w:rsidRPr="00586F1D" w:rsidRDefault="00662706" w:rsidP="00C417BF">
      <w:pPr>
        <w:jc w:val="both"/>
        <w:rPr>
          <w:rFonts w:cs="Calibri Light"/>
          <w:bCs/>
          <w:noProof/>
          <w:sz w:val="24"/>
          <w:szCs w:val="24"/>
        </w:rPr>
      </w:pPr>
      <w:r w:rsidRPr="00586F1D">
        <w:rPr>
          <w:rFonts w:cs="Calibri Light"/>
          <w:bCs/>
          <w:noProof/>
          <w:sz w:val="24"/>
          <w:szCs w:val="24"/>
        </w:rPr>
        <w:lastRenderedPageBreak/>
        <w:t xml:space="preserve">Wykład poświęcony będzie twórczości Ireny Lorentowiczówny z lat 1935–1940 oraz próbie scharakteryzowania środowiska polskich artystów w ówczesnym Paryżu, którego obraz zawarła we wspomnieniach </w:t>
      </w:r>
      <w:r w:rsidRPr="00586F1D">
        <w:rPr>
          <w:rFonts w:cs="Calibri Light"/>
          <w:bCs/>
          <w:i/>
          <w:noProof/>
          <w:sz w:val="24"/>
          <w:szCs w:val="24"/>
        </w:rPr>
        <w:t>Oczarowania</w:t>
      </w:r>
      <w:r w:rsidRPr="00586F1D">
        <w:rPr>
          <w:rFonts w:cs="Calibri Light"/>
          <w:bCs/>
          <w:noProof/>
          <w:sz w:val="24"/>
          <w:szCs w:val="24"/>
        </w:rPr>
        <w:t>.</w:t>
      </w:r>
    </w:p>
    <w:p w:rsidR="005C6D45" w:rsidRPr="00586F1D" w:rsidRDefault="00662706" w:rsidP="00662706">
      <w:pPr>
        <w:jc w:val="right"/>
        <w:rPr>
          <w:rFonts w:cs="Calibri Light"/>
          <w:noProof/>
          <w:sz w:val="24"/>
          <w:szCs w:val="24"/>
        </w:rPr>
      </w:pPr>
      <w:r w:rsidRPr="00586F1D">
        <w:rPr>
          <w:rFonts w:cs="Calibri Light"/>
          <w:noProof/>
          <w:sz w:val="24"/>
          <w:szCs w:val="24"/>
        </w:rPr>
        <w:t>(11 V 2021)</w:t>
      </w:r>
    </w:p>
    <w:p w:rsidR="00586F1D" w:rsidRDefault="00586F1D" w:rsidP="00662706">
      <w:pPr>
        <w:jc w:val="right"/>
        <w:rPr>
          <w:rFonts w:cs="Calibri Light"/>
          <w:noProof/>
          <w:sz w:val="24"/>
          <w:szCs w:val="24"/>
        </w:rPr>
      </w:pPr>
    </w:p>
    <w:p w:rsidR="00C62275" w:rsidRPr="00586F1D" w:rsidRDefault="00C62275" w:rsidP="00662706">
      <w:pPr>
        <w:jc w:val="right"/>
        <w:rPr>
          <w:rFonts w:cs="Calibri Light"/>
          <w:noProof/>
          <w:sz w:val="24"/>
          <w:szCs w:val="24"/>
        </w:rPr>
      </w:pPr>
    </w:p>
    <w:p w:rsidR="00662706" w:rsidRPr="00586F1D" w:rsidRDefault="00662706" w:rsidP="00C62275">
      <w:pPr>
        <w:pStyle w:val="Nagwek2"/>
        <w:rPr>
          <w:rFonts w:eastAsiaTheme="majorEastAsia"/>
          <w:bCs/>
        </w:rPr>
      </w:pPr>
      <w:bookmarkStart w:id="11" w:name="_Toc178250018"/>
      <w:r w:rsidRPr="00586F1D">
        <w:t>Anna Oleńska</w:t>
      </w:r>
      <w:r w:rsidR="0061638B" w:rsidRPr="00586F1D">
        <w:t xml:space="preserve"> (IS PAN)</w:t>
      </w:r>
      <w:r w:rsidRPr="00586F1D">
        <w:t xml:space="preserve">, Dorota </w:t>
      </w:r>
      <w:proofErr w:type="spellStart"/>
      <w:r w:rsidRPr="00586F1D">
        <w:t>Piramidowicz</w:t>
      </w:r>
      <w:proofErr w:type="spellEnd"/>
      <w:r w:rsidR="0061638B" w:rsidRPr="00586F1D">
        <w:t xml:space="preserve"> (IS PAN)</w:t>
      </w:r>
      <w:r w:rsidRPr="00586F1D">
        <w:t xml:space="preserve">, </w:t>
      </w:r>
      <w:r w:rsidR="007430A8" w:rsidRPr="00586F1D">
        <w:t>„</w:t>
      </w:r>
      <w:r w:rsidRPr="00586F1D">
        <w:t>Jesteśmy tylko chwilą w trwaniu przedmiotów</w:t>
      </w:r>
      <w:r w:rsidR="007430A8" w:rsidRPr="00586F1D">
        <w:t>”</w:t>
      </w:r>
      <w:r w:rsidRPr="00586F1D">
        <w:t xml:space="preserve"> – migracje, postrzeganie i zmiana znaczeń obiektów zabytkowych</w:t>
      </w:r>
      <w:bookmarkEnd w:id="11"/>
      <w:r w:rsidRPr="00586F1D">
        <w:rPr>
          <w:rFonts w:eastAsiaTheme="majorEastAsia"/>
          <w:bCs/>
        </w:rPr>
        <w:t xml:space="preserve"> </w:t>
      </w:r>
    </w:p>
    <w:p w:rsidR="00662706" w:rsidRPr="00586F1D" w:rsidRDefault="00662706" w:rsidP="00C417BF">
      <w:pPr>
        <w:jc w:val="both"/>
        <w:rPr>
          <w:rFonts w:cs="Calibri Light"/>
          <w:bCs/>
          <w:sz w:val="24"/>
          <w:szCs w:val="24"/>
          <w:lang w:val="it-IT"/>
        </w:rPr>
      </w:pPr>
      <w:r w:rsidRPr="00586F1D">
        <w:rPr>
          <w:rFonts w:cs="Calibri Light"/>
          <w:bCs/>
          <w:sz w:val="24"/>
          <w:szCs w:val="24"/>
          <w:lang w:val="it-IT"/>
        </w:rPr>
        <w:t xml:space="preserve">Dla historyka sztuki zajmującego się badaniem zabytkowego dziedzictwa, niezwykle ważny jest kontakt z rzeczą, która traktowana jest nie tylko jako forma materialna, ale przede wszystkim jako wiele mówiący nośnik znaczeń i małe </w:t>
      </w:r>
      <w:r w:rsidR="007430A8" w:rsidRPr="00586F1D">
        <w:rPr>
          <w:rFonts w:cs="Calibri Light"/>
          <w:bCs/>
          <w:sz w:val="24"/>
          <w:szCs w:val="24"/>
          <w:lang w:val="it-IT"/>
        </w:rPr>
        <w:t>„</w:t>
      </w:r>
      <w:r w:rsidRPr="00586F1D">
        <w:rPr>
          <w:rFonts w:cs="Calibri Light"/>
          <w:bCs/>
          <w:sz w:val="24"/>
          <w:szCs w:val="24"/>
          <w:lang w:val="it-IT"/>
        </w:rPr>
        <w:t>miejsce pamięci</w:t>
      </w:r>
      <w:r w:rsidR="007430A8" w:rsidRPr="00586F1D">
        <w:rPr>
          <w:rFonts w:cs="Calibri Light"/>
          <w:bCs/>
          <w:sz w:val="24"/>
          <w:szCs w:val="24"/>
          <w:lang w:val="it-IT"/>
        </w:rPr>
        <w:t>”</w:t>
      </w:r>
      <w:r w:rsidRPr="00586F1D">
        <w:rPr>
          <w:rFonts w:cs="Calibri Light"/>
          <w:bCs/>
          <w:sz w:val="24"/>
          <w:szCs w:val="24"/>
          <w:lang w:val="it-IT"/>
        </w:rPr>
        <w:t xml:space="preserve">. Rzecz ta tylko pozornie jest niema, jej forma, materia i/lub kontekst miejsca mogą mówić wiele i doprowadzić uważnego odbiorcę – nierzadko drogą wręcz detektywistycznych skojarzeń – do interesujących ustaleń. </w:t>
      </w:r>
    </w:p>
    <w:p w:rsidR="00662706" w:rsidRPr="00586F1D" w:rsidRDefault="00662706" w:rsidP="00C417BF">
      <w:pPr>
        <w:jc w:val="both"/>
        <w:rPr>
          <w:rFonts w:cs="Calibri Light"/>
          <w:bCs/>
          <w:sz w:val="24"/>
          <w:szCs w:val="24"/>
          <w:lang w:val="it-IT"/>
        </w:rPr>
      </w:pPr>
      <w:r w:rsidRPr="00586F1D">
        <w:rPr>
          <w:rFonts w:cs="Calibri Light"/>
          <w:bCs/>
          <w:sz w:val="24"/>
          <w:szCs w:val="24"/>
          <w:lang w:val="it-IT"/>
        </w:rPr>
        <w:t xml:space="preserve">Temat wystąpienia wyrósł z naszego wieloletniego doświadczenia z przedmiotami – obiektami zabytkowymi, określanymi mianem sztuki sakralnej, czyli różnorodnymi elementami wystroju kościelnego, od najbardziej okazałych, po te na pierwszy rzut oka niezauważalne. Chciałybyśmy opowiedzieć między innymi o obrazach, rzeźbach, paramentach i szatach liturgicznych, z którymi spotkałyśmy się i które badałyśmy podczas opracowywania kolejnych tomów serii </w:t>
      </w:r>
      <w:r w:rsidR="007430A8" w:rsidRPr="00586F1D">
        <w:rPr>
          <w:rFonts w:cs="Calibri Light"/>
          <w:bCs/>
          <w:sz w:val="24"/>
          <w:szCs w:val="24"/>
          <w:lang w:val="it-IT"/>
        </w:rPr>
        <w:t>„</w:t>
      </w:r>
      <w:r w:rsidRPr="00586F1D">
        <w:rPr>
          <w:rFonts w:cs="Calibri Light"/>
          <w:bCs/>
          <w:sz w:val="24"/>
          <w:szCs w:val="24"/>
          <w:lang w:val="it-IT"/>
        </w:rPr>
        <w:t>Katalog Zabytków Sztuki w Polsce</w:t>
      </w:r>
      <w:r w:rsidR="007430A8" w:rsidRPr="00586F1D">
        <w:rPr>
          <w:rFonts w:cs="Calibri Light"/>
          <w:bCs/>
          <w:sz w:val="24"/>
          <w:szCs w:val="24"/>
          <w:lang w:val="it-IT"/>
        </w:rPr>
        <w:t>”</w:t>
      </w:r>
      <w:r w:rsidRPr="00586F1D">
        <w:rPr>
          <w:rFonts w:cs="Calibri Light"/>
          <w:bCs/>
          <w:sz w:val="24"/>
          <w:szCs w:val="24"/>
          <w:lang w:val="it-IT"/>
        </w:rPr>
        <w:t xml:space="preserve"> oraz </w:t>
      </w:r>
      <w:r w:rsidR="007430A8" w:rsidRPr="00586F1D">
        <w:rPr>
          <w:rFonts w:cs="Calibri Light"/>
          <w:bCs/>
          <w:sz w:val="24"/>
          <w:szCs w:val="24"/>
          <w:lang w:val="it-IT"/>
        </w:rPr>
        <w:t>„</w:t>
      </w:r>
      <w:r w:rsidRPr="00586F1D">
        <w:rPr>
          <w:rFonts w:cs="Calibri Light"/>
          <w:bCs/>
          <w:sz w:val="24"/>
          <w:szCs w:val="24"/>
          <w:lang w:val="it-IT"/>
        </w:rPr>
        <w:t>Materiały do dziejów sztuki  sakralnej na dawnych ziemiach wschodnich Rzeczypospolitej</w:t>
      </w:r>
      <w:r w:rsidR="007430A8" w:rsidRPr="00586F1D">
        <w:rPr>
          <w:rFonts w:cs="Calibri Light"/>
          <w:bCs/>
          <w:sz w:val="24"/>
          <w:szCs w:val="24"/>
          <w:lang w:val="it-IT"/>
        </w:rPr>
        <w:t>”</w:t>
      </w:r>
      <w:r w:rsidRPr="00586F1D">
        <w:rPr>
          <w:rFonts w:cs="Calibri Light"/>
          <w:bCs/>
          <w:sz w:val="24"/>
          <w:szCs w:val="24"/>
          <w:lang w:val="it-IT"/>
        </w:rPr>
        <w:t>. Wiele z tych obiektów zrośniętych jest ze swym pierwotnym miejscem, współtworząc jego historię i obraz społeczności, z którymi były związane. Inne zostały pozbawione kontekstu i korzeni, odbywając różnego rodzaju migracje – te, w najprostszym i bezpośrednim rozumieniu, geograficzne, ale i te znaczeniowe czy tożsamościowe. W ich wyniku  obiekty otoczone kultem stawały się bezimienne, ale i odwrotnie – w nowych warunkach zyskiwały znamię wręcz relikwii. Owym migracjom sprzyjały dramatyczne nierzadko dzieje świątyń na tzw. kresach dawnej Rzeczypospolitej, które przyczyniały się do tworzenia nie tylko indywidualnych historii poszczególnych przedmiotów, ale też do powstawania ich repozytoriów, sztucznych lub wtórnych. Częstokroć odkrywanie i rekonstruowanie ich losów i drogi przynosi niezwykłą satysfakcję badawczą, przywracając je pamięci. W wystąpieniu poruszymy także problem niebezpieczeństwa tworzenia (pozornych) syntez oraz wagi  przekazów źródłowych – wizualnych i pisanych, ale też i ustnych.</w:t>
      </w:r>
    </w:p>
    <w:p w:rsidR="00662706" w:rsidRPr="00586F1D" w:rsidRDefault="00662706" w:rsidP="00662706">
      <w:pPr>
        <w:jc w:val="right"/>
        <w:rPr>
          <w:rFonts w:cs="Calibri Light"/>
          <w:sz w:val="24"/>
          <w:szCs w:val="24"/>
        </w:rPr>
      </w:pPr>
      <w:r w:rsidRPr="00586F1D">
        <w:rPr>
          <w:rFonts w:cs="Calibri Light"/>
          <w:sz w:val="24"/>
          <w:szCs w:val="24"/>
        </w:rPr>
        <w:t>(8 VI 2021)</w:t>
      </w:r>
    </w:p>
    <w:p w:rsidR="00586F1D" w:rsidRDefault="00586F1D" w:rsidP="00662706">
      <w:pPr>
        <w:jc w:val="right"/>
        <w:rPr>
          <w:rFonts w:cs="Calibri Light"/>
          <w:sz w:val="24"/>
          <w:szCs w:val="24"/>
        </w:rPr>
      </w:pPr>
    </w:p>
    <w:p w:rsidR="00D27496" w:rsidRDefault="00D27496">
      <w:pPr>
        <w:spacing w:before="0" w:line="240" w:lineRule="auto"/>
        <w:rPr>
          <w:rFonts w:cs="Calibri Light"/>
          <w:sz w:val="24"/>
          <w:szCs w:val="24"/>
        </w:rPr>
      </w:pPr>
      <w:r>
        <w:rPr>
          <w:rFonts w:cs="Calibri Light"/>
          <w:sz w:val="24"/>
          <w:szCs w:val="24"/>
        </w:rPr>
        <w:br w:type="page"/>
      </w:r>
    </w:p>
    <w:p w:rsidR="00C62275" w:rsidRPr="00586F1D" w:rsidRDefault="00C62275" w:rsidP="00662706">
      <w:pPr>
        <w:jc w:val="right"/>
        <w:rPr>
          <w:rFonts w:cs="Calibri Light"/>
          <w:sz w:val="24"/>
          <w:szCs w:val="24"/>
        </w:rPr>
      </w:pPr>
    </w:p>
    <w:p w:rsidR="005B7585" w:rsidRPr="00C62275" w:rsidRDefault="005B7585" w:rsidP="00C62275">
      <w:pPr>
        <w:pStyle w:val="Nagwek2"/>
        <w:rPr>
          <w:rStyle w:val="fontstyle01"/>
          <w:rFonts w:ascii="Segoe UI Light" w:hAnsi="Segoe UI Light"/>
          <w:b w:val="0"/>
          <w:bCs w:val="0"/>
          <w:color w:val="1F4E79"/>
          <w:sz w:val="36"/>
          <w:szCs w:val="26"/>
        </w:rPr>
      </w:pPr>
      <w:bookmarkStart w:id="12" w:name="_Toc178250019"/>
      <w:r w:rsidRPr="00C62275">
        <w:t>Anna Straszewska</w:t>
      </w:r>
      <w:r w:rsidR="0061638B" w:rsidRPr="00C62275">
        <w:t xml:space="preserve"> (IS PAN)</w:t>
      </w:r>
      <w:r w:rsidRPr="00C62275">
        <w:t xml:space="preserve">, </w:t>
      </w:r>
      <w:r w:rsidRPr="00C62275">
        <w:rPr>
          <w:rStyle w:val="fontstyle01"/>
          <w:rFonts w:ascii="Segoe UI Light" w:hAnsi="Segoe UI Light"/>
          <w:b w:val="0"/>
          <w:bCs w:val="0"/>
          <w:color w:val="1F4E79"/>
          <w:sz w:val="36"/>
          <w:szCs w:val="26"/>
        </w:rPr>
        <w:t>Drohobycz–Wiedeń–Nowy Jork. Żydowscy absolwenci wiedeńskiej Akademii i ich udział w rozprzestrzenianiu wzorów sztuki środkowoeuropejskiej</w:t>
      </w:r>
      <w:bookmarkEnd w:id="12"/>
    </w:p>
    <w:p w:rsidR="00662706" w:rsidRPr="00586F1D" w:rsidRDefault="00662706" w:rsidP="00662706">
      <w:pPr>
        <w:rPr>
          <w:rFonts w:cs="Calibri Light"/>
          <w:sz w:val="24"/>
          <w:szCs w:val="24"/>
        </w:rPr>
      </w:pPr>
    </w:p>
    <w:p w:rsidR="005B7585" w:rsidRPr="00586F1D" w:rsidRDefault="005B7585" w:rsidP="00C417BF">
      <w:pPr>
        <w:jc w:val="both"/>
        <w:rPr>
          <w:rFonts w:cs="Calibri Light"/>
          <w:noProof/>
          <w:sz w:val="24"/>
          <w:szCs w:val="24"/>
          <w:lang w:val="it-IT"/>
        </w:rPr>
      </w:pPr>
      <w:r w:rsidRPr="00586F1D">
        <w:rPr>
          <w:rFonts w:cs="Calibri Light"/>
          <w:noProof/>
          <w:sz w:val="24"/>
          <w:szCs w:val="24"/>
          <w:lang w:val="it-IT"/>
        </w:rPr>
        <w:t>Wydany w 1782 roku przez cesarza Józefa II edykt tolerancyjny umożliwiał Żydom dostęp do</w:t>
      </w:r>
      <w:r w:rsidRPr="00586F1D">
        <w:rPr>
          <w:rFonts w:cs="Calibri Light"/>
          <w:bCs/>
          <w:noProof/>
          <w:sz w:val="24"/>
          <w:szCs w:val="24"/>
          <w:lang w:val="it-IT"/>
        </w:rPr>
        <w:t xml:space="preserve"> </w:t>
      </w:r>
      <w:r w:rsidRPr="00586F1D">
        <w:rPr>
          <w:rFonts w:cs="Calibri Light"/>
          <w:noProof/>
          <w:sz w:val="24"/>
          <w:szCs w:val="24"/>
          <w:lang w:val="it-IT"/>
        </w:rPr>
        <w:t>świeckiej edukacji w państwie Habsburgów.</w:t>
      </w:r>
    </w:p>
    <w:p w:rsidR="00662706" w:rsidRPr="00586F1D" w:rsidRDefault="005B7585" w:rsidP="00C417BF">
      <w:pPr>
        <w:jc w:val="both"/>
        <w:rPr>
          <w:rFonts w:cs="Calibri Light"/>
          <w:noProof/>
          <w:sz w:val="24"/>
          <w:szCs w:val="24"/>
        </w:rPr>
      </w:pPr>
      <w:r w:rsidRPr="00586F1D">
        <w:rPr>
          <w:rFonts w:cs="Calibri Light"/>
          <w:noProof/>
          <w:sz w:val="24"/>
          <w:szCs w:val="24"/>
          <w:lang w:val="it-IT"/>
        </w:rPr>
        <w:t>Dzięki temu na początku XIX wieku na studia artystyczne do stolicy monarchii zaczęli przybywać też Żydzi z Galicji, którzy początkowo wybierali przede wszystkim kierunki rzemieślnicze, jednak w miarę postępującej akulturacji gotowi byli na przełamywanie obowiązującego w judaizmie tabu zakazującego przedstawiania postaci ludzi i zwierząt, co umożliwiło im naukę malarstwa i rzeźby. Mimo iż wielu z nich czuło się Polakami wyznania mojżeszowego, powrót w rodzinne strony był dla nich z reguły niemożliwy – jedynie przejście na katolicyzm dawało możliwość całkowitej asymilacji i przebicia szklanego sufitu, ograniczającego dostęp do pracy i pełnego udziału w życiu</w:t>
      </w:r>
      <w:r w:rsidRPr="00586F1D">
        <w:rPr>
          <w:rFonts w:cs="Calibri Light"/>
          <w:b/>
          <w:bCs/>
          <w:noProof/>
          <w:sz w:val="24"/>
          <w:szCs w:val="24"/>
          <w:lang w:val="it-IT"/>
        </w:rPr>
        <w:t xml:space="preserve"> </w:t>
      </w:r>
      <w:r w:rsidRPr="00586F1D">
        <w:rPr>
          <w:rFonts w:cs="Calibri Light"/>
          <w:noProof/>
          <w:sz w:val="24"/>
          <w:szCs w:val="24"/>
          <w:lang w:val="it-IT"/>
        </w:rPr>
        <w:t>artystycznym kraju. Żydowscy absolwenci Akademii wiedeńskiej, jak Maurycy Gottlieb uczestniczyli w Wiedniu (a także Niemczech) w tworzeniu nowoczesnej sztuki żydowskiej, ale też tak jak Lazar Krestin pokazywali na swoich obrazach egzotyczne życie sztetli na rubieżach Rzeczpospolitej, a po I wojnie światowej angażo</w:t>
      </w:r>
      <w:r w:rsidR="00C417BF" w:rsidRPr="00586F1D">
        <w:rPr>
          <w:rFonts w:cs="Calibri Light"/>
          <w:noProof/>
          <w:sz w:val="24"/>
          <w:szCs w:val="24"/>
          <w:lang w:val="it-IT"/>
        </w:rPr>
        <w:t>wali się w ruch syjonistyczny i </w:t>
      </w:r>
      <w:r w:rsidRPr="00586F1D">
        <w:rPr>
          <w:rFonts w:cs="Calibri Light"/>
          <w:noProof/>
          <w:sz w:val="24"/>
          <w:szCs w:val="24"/>
          <w:lang w:val="it-IT"/>
        </w:rPr>
        <w:t>brali udział w tworzeniu podwalin szkolnictwa artystycznego w Palestynie. W 1938 roku Anschluss definitywnie zakończył udział twórców żydowskich w życiu artystycznym Wiednia, w przeciągu kilku miesięcy zostali pozbawieni wszelkich praw i aby ratować życie zmuszeni byli uciekać w najdalsze krańce</w:t>
      </w:r>
      <w:r w:rsidRPr="00586F1D">
        <w:rPr>
          <w:rFonts w:cs="Calibri Light"/>
          <w:b/>
          <w:bCs/>
          <w:noProof/>
          <w:sz w:val="24"/>
          <w:szCs w:val="24"/>
          <w:lang w:val="it-IT"/>
        </w:rPr>
        <w:t xml:space="preserve"> </w:t>
      </w:r>
      <w:r w:rsidRPr="00586F1D">
        <w:rPr>
          <w:rFonts w:cs="Calibri Light"/>
          <w:noProof/>
          <w:sz w:val="24"/>
          <w:szCs w:val="24"/>
          <w:lang w:val="it-IT"/>
        </w:rPr>
        <w:t>świata, gdzie przeszczepiali wzorce sztuki środkowoeuropejskiej.</w:t>
      </w:r>
      <w:r w:rsidRPr="00586F1D">
        <w:rPr>
          <w:rFonts w:cs="Calibri Light"/>
          <w:noProof/>
          <w:sz w:val="24"/>
          <w:szCs w:val="24"/>
        </w:rPr>
        <w:t xml:space="preserve"> </w:t>
      </w:r>
    </w:p>
    <w:p w:rsidR="005B7585" w:rsidRPr="00586F1D" w:rsidRDefault="005B7585" w:rsidP="005B7585">
      <w:pPr>
        <w:jc w:val="right"/>
        <w:rPr>
          <w:rFonts w:cs="Calibri Light"/>
          <w:noProof/>
          <w:sz w:val="24"/>
          <w:szCs w:val="24"/>
        </w:rPr>
      </w:pPr>
      <w:r w:rsidRPr="00586F1D">
        <w:rPr>
          <w:rFonts w:cs="Calibri Light"/>
          <w:noProof/>
          <w:sz w:val="24"/>
          <w:szCs w:val="24"/>
        </w:rPr>
        <w:t>(26 X 2021)</w:t>
      </w:r>
    </w:p>
    <w:p w:rsidR="005B7585" w:rsidRDefault="005B7585" w:rsidP="005B7585">
      <w:pPr>
        <w:jc w:val="right"/>
        <w:rPr>
          <w:rFonts w:cs="Calibri Light"/>
          <w:noProof/>
          <w:sz w:val="24"/>
          <w:szCs w:val="24"/>
        </w:rPr>
      </w:pPr>
    </w:p>
    <w:p w:rsidR="00C62275" w:rsidRPr="00586F1D" w:rsidRDefault="00C62275" w:rsidP="005B7585">
      <w:pPr>
        <w:jc w:val="right"/>
        <w:rPr>
          <w:rFonts w:cs="Calibri Light"/>
          <w:noProof/>
          <w:sz w:val="24"/>
          <w:szCs w:val="24"/>
        </w:rPr>
      </w:pPr>
    </w:p>
    <w:p w:rsidR="005B7585" w:rsidRPr="00586F1D" w:rsidRDefault="005B7585" w:rsidP="00C62275">
      <w:pPr>
        <w:pStyle w:val="Nagwek2"/>
      </w:pPr>
      <w:bookmarkStart w:id="13" w:name="_Toc178250020"/>
      <w:r w:rsidRPr="00586F1D">
        <w:t xml:space="preserve">Arleta </w:t>
      </w:r>
      <w:proofErr w:type="spellStart"/>
      <w:r w:rsidRPr="00586F1D">
        <w:t>Nawrocka-Wysocka</w:t>
      </w:r>
      <w:proofErr w:type="spellEnd"/>
      <w:r w:rsidR="0061638B" w:rsidRPr="00586F1D">
        <w:t xml:space="preserve"> (IS PAN)</w:t>
      </w:r>
      <w:r w:rsidRPr="00586F1D">
        <w:t>, Muzyka i migracje jako przedmiot badań etnomuzykologii w XX i XXI wieku</w:t>
      </w:r>
      <w:bookmarkEnd w:id="13"/>
      <w:r w:rsidRPr="00586F1D">
        <w:t xml:space="preserve"> </w:t>
      </w:r>
    </w:p>
    <w:p w:rsidR="005B7585" w:rsidRPr="00586F1D" w:rsidRDefault="005B7585" w:rsidP="00C417BF">
      <w:pPr>
        <w:jc w:val="both"/>
        <w:rPr>
          <w:rFonts w:cs="Calibri Light"/>
          <w:sz w:val="24"/>
          <w:szCs w:val="24"/>
          <w:lang w:val="it-IT"/>
        </w:rPr>
      </w:pPr>
      <w:r w:rsidRPr="00586F1D">
        <w:rPr>
          <w:rStyle w:val="Wyrnienieofertyznak"/>
          <w:rFonts w:ascii="Calibri Light" w:hAnsi="Calibri Light" w:cs="Calibri Light"/>
          <w:sz w:val="24"/>
          <w:szCs w:val="24"/>
        </w:rPr>
        <w:t xml:space="preserve">Moim jedynym bagażem była walizka i kochana </w:t>
      </w:r>
      <w:proofErr w:type="spellStart"/>
      <w:r w:rsidRPr="00586F1D">
        <w:rPr>
          <w:rStyle w:val="Wyrnienieofertyznak"/>
          <w:rFonts w:ascii="Calibri Light" w:hAnsi="Calibri Light" w:cs="Calibri Light"/>
          <w:sz w:val="24"/>
          <w:szCs w:val="24"/>
        </w:rPr>
        <w:t>lyra</w:t>
      </w:r>
      <w:proofErr w:type="spellEnd"/>
      <w:r w:rsidRPr="00586F1D">
        <w:rPr>
          <w:rStyle w:val="Wyrnienieofertyznak"/>
          <w:rFonts w:ascii="Calibri Light" w:hAnsi="Calibri Light" w:cs="Calibri Light"/>
          <w:sz w:val="24"/>
          <w:szCs w:val="24"/>
        </w:rPr>
        <w:t xml:space="preserve">. W futerale instrumentu było wystarczająco dużo miejsca, aby umieścić niezbędny ekwipunek i części zamienne mojej </w:t>
      </w:r>
      <w:proofErr w:type="spellStart"/>
      <w:r w:rsidRPr="00586F1D">
        <w:rPr>
          <w:rStyle w:val="Wyrnienieofertyznak"/>
          <w:rFonts w:ascii="Calibri Light" w:hAnsi="Calibri Light" w:cs="Calibri Light"/>
          <w:sz w:val="24"/>
          <w:szCs w:val="24"/>
        </w:rPr>
        <w:t>lyry</w:t>
      </w:r>
      <w:proofErr w:type="spellEnd"/>
      <w:r w:rsidRPr="00586F1D">
        <w:rPr>
          <w:rStyle w:val="Wyrnienieofertyznak"/>
          <w:rFonts w:ascii="Calibri Light" w:hAnsi="Calibri Light" w:cs="Calibri Light"/>
          <w:sz w:val="24"/>
          <w:szCs w:val="24"/>
        </w:rPr>
        <w:t>: struny, dwa smyczki, żywicę, obcinacz do paznokci, szmatkę i gruby zeszyt. Mój notatnik był w całości zapisany i zawierał zbiór najlepszych greckich pieśni, starannie opracowanych, w większości tradycyjnych z Pontu…</w:t>
      </w:r>
      <w:r w:rsidRPr="00586F1D">
        <w:rPr>
          <w:rFonts w:cs="Calibri Light"/>
          <w:sz w:val="24"/>
          <w:szCs w:val="24"/>
          <w:lang w:val="it-IT"/>
        </w:rPr>
        <w:t xml:space="preserve"> (Aristoteles Konstadinidis – grecki emigrant z Pontu)</w:t>
      </w:r>
    </w:p>
    <w:p w:rsidR="005B7585" w:rsidRPr="00586F1D" w:rsidRDefault="005B7585" w:rsidP="00C417BF">
      <w:pPr>
        <w:jc w:val="both"/>
        <w:rPr>
          <w:rFonts w:cs="Calibri Light"/>
          <w:sz w:val="24"/>
          <w:szCs w:val="24"/>
          <w:lang w:val="it-IT"/>
        </w:rPr>
      </w:pPr>
      <w:r w:rsidRPr="00586F1D">
        <w:rPr>
          <w:rFonts w:cs="Calibri Light"/>
          <w:sz w:val="24"/>
          <w:szCs w:val="24"/>
          <w:lang w:val="it-IT"/>
        </w:rPr>
        <w:t>Mobilność i nieograniczone kontakty kulturowe to chyba największe wyzwania dla współczesnej etnomuzykologii. Dyscyplina pierwotnie skoncentrowana na badaniu jednej kultury musi na nowo sformułować znaczenia takich pojęć jak tożsamość kulturowa, nacjonalizm, transnacjonalizm czy diaspora.</w:t>
      </w:r>
    </w:p>
    <w:p w:rsidR="005B7585" w:rsidRPr="00586F1D" w:rsidRDefault="005B7585" w:rsidP="00C417BF">
      <w:pPr>
        <w:jc w:val="both"/>
        <w:rPr>
          <w:rFonts w:cs="Calibri Light"/>
          <w:sz w:val="24"/>
          <w:szCs w:val="24"/>
          <w:lang w:val="it-IT"/>
        </w:rPr>
      </w:pPr>
      <w:r w:rsidRPr="00586F1D">
        <w:rPr>
          <w:rFonts w:cs="Calibri Light"/>
          <w:sz w:val="24"/>
          <w:szCs w:val="24"/>
          <w:lang w:val="it-IT"/>
        </w:rPr>
        <w:t xml:space="preserve">Wraz z przemieszczającymi się ludźmi przenoszony jest – wraz z bagażem – konkretny kapitał kulturowy, który według badaczy stanowi fundament budowania nowej tożsamości w miejscu osiedlenia. Współczesna nauka kwestionuje więc także dotychczas używane określenia nadające muzyce charakter </w:t>
      </w:r>
      <w:r w:rsidR="007430A8" w:rsidRPr="00586F1D">
        <w:rPr>
          <w:rFonts w:cs="Calibri Light"/>
          <w:sz w:val="24"/>
          <w:szCs w:val="24"/>
          <w:lang w:val="it-IT"/>
        </w:rPr>
        <w:t>„</w:t>
      </w:r>
      <w:r w:rsidRPr="00586F1D">
        <w:rPr>
          <w:rFonts w:cs="Calibri Light"/>
          <w:sz w:val="24"/>
          <w:szCs w:val="24"/>
          <w:lang w:val="it-IT"/>
        </w:rPr>
        <w:t>autentyczny</w:t>
      </w:r>
      <w:r w:rsidR="007430A8" w:rsidRPr="00586F1D">
        <w:rPr>
          <w:rFonts w:cs="Calibri Light"/>
          <w:sz w:val="24"/>
          <w:szCs w:val="24"/>
          <w:lang w:val="it-IT"/>
        </w:rPr>
        <w:t>”</w:t>
      </w:r>
      <w:r w:rsidRPr="00586F1D">
        <w:rPr>
          <w:rFonts w:cs="Calibri Light"/>
          <w:sz w:val="24"/>
          <w:szCs w:val="24"/>
          <w:lang w:val="it-IT"/>
        </w:rPr>
        <w:t xml:space="preserve">, </w:t>
      </w:r>
      <w:r w:rsidR="007430A8" w:rsidRPr="00586F1D">
        <w:rPr>
          <w:rFonts w:cs="Calibri Light"/>
          <w:sz w:val="24"/>
          <w:szCs w:val="24"/>
          <w:lang w:val="it-IT"/>
        </w:rPr>
        <w:t>„</w:t>
      </w:r>
      <w:r w:rsidRPr="00586F1D">
        <w:rPr>
          <w:rFonts w:cs="Calibri Light"/>
          <w:sz w:val="24"/>
          <w:szCs w:val="24"/>
          <w:lang w:val="it-IT"/>
        </w:rPr>
        <w:t>czysty</w:t>
      </w:r>
      <w:r w:rsidR="007430A8" w:rsidRPr="00586F1D">
        <w:rPr>
          <w:rFonts w:cs="Calibri Light"/>
          <w:sz w:val="24"/>
          <w:szCs w:val="24"/>
          <w:lang w:val="it-IT"/>
        </w:rPr>
        <w:t>”</w:t>
      </w:r>
      <w:r w:rsidRPr="00586F1D">
        <w:rPr>
          <w:rFonts w:cs="Calibri Light"/>
          <w:sz w:val="24"/>
          <w:szCs w:val="24"/>
          <w:lang w:val="it-IT"/>
        </w:rPr>
        <w:t xml:space="preserve">, czy </w:t>
      </w:r>
      <w:r w:rsidR="007430A8" w:rsidRPr="00586F1D">
        <w:rPr>
          <w:rFonts w:cs="Calibri Light"/>
          <w:sz w:val="24"/>
          <w:szCs w:val="24"/>
          <w:lang w:val="it-IT"/>
        </w:rPr>
        <w:t>„</w:t>
      </w:r>
      <w:r w:rsidRPr="00586F1D">
        <w:rPr>
          <w:rFonts w:cs="Calibri Light"/>
          <w:sz w:val="24"/>
          <w:szCs w:val="24"/>
          <w:lang w:val="it-IT"/>
        </w:rPr>
        <w:t>tradycyjny</w:t>
      </w:r>
      <w:r w:rsidR="007430A8" w:rsidRPr="00586F1D">
        <w:rPr>
          <w:rFonts w:cs="Calibri Light"/>
          <w:sz w:val="24"/>
          <w:szCs w:val="24"/>
          <w:lang w:val="it-IT"/>
        </w:rPr>
        <w:t>”</w:t>
      </w:r>
      <w:r w:rsidRPr="00586F1D">
        <w:rPr>
          <w:rFonts w:cs="Calibri Light"/>
          <w:sz w:val="24"/>
          <w:szCs w:val="24"/>
          <w:lang w:val="it-IT"/>
        </w:rPr>
        <w:t xml:space="preserve">. Od 2000 roku regularnie </w:t>
      </w:r>
      <w:r w:rsidRPr="00586F1D">
        <w:rPr>
          <w:rFonts w:cs="Calibri Light"/>
          <w:sz w:val="24"/>
          <w:szCs w:val="24"/>
          <w:lang w:val="it-IT"/>
        </w:rPr>
        <w:lastRenderedPageBreak/>
        <w:t xml:space="preserve">odbywają się konferencje, na których międzynarodowe grono badaczy debatuje o muzyce i migracji. Uczestnicy debat wskazują na kryzys istniejący w języku teoretycznym dyscypliny, twierdząc, że </w:t>
      </w:r>
      <w:r w:rsidR="007430A8" w:rsidRPr="00586F1D">
        <w:rPr>
          <w:rFonts w:cs="Calibri Light"/>
          <w:sz w:val="24"/>
          <w:szCs w:val="24"/>
          <w:lang w:val="it-IT"/>
        </w:rPr>
        <w:t>„</w:t>
      </w:r>
      <w:r w:rsidRPr="00586F1D">
        <w:rPr>
          <w:rFonts w:cs="Calibri Light"/>
          <w:sz w:val="24"/>
          <w:szCs w:val="24"/>
          <w:lang w:val="it-IT"/>
        </w:rPr>
        <w:t>etnomuzykologia narodów</w:t>
      </w:r>
      <w:r w:rsidR="007430A8" w:rsidRPr="00586F1D">
        <w:rPr>
          <w:rFonts w:cs="Calibri Light"/>
          <w:sz w:val="24"/>
          <w:szCs w:val="24"/>
          <w:lang w:val="it-IT"/>
        </w:rPr>
        <w:t>”</w:t>
      </w:r>
      <w:r w:rsidRPr="00586F1D">
        <w:rPr>
          <w:rFonts w:cs="Calibri Light"/>
          <w:sz w:val="24"/>
          <w:szCs w:val="24"/>
          <w:lang w:val="it-IT"/>
        </w:rPr>
        <w:t xml:space="preserve"> musi ustąpić miejsca </w:t>
      </w:r>
      <w:r w:rsidR="007430A8" w:rsidRPr="00586F1D">
        <w:rPr>
          <w:rFonts w:cs="Calibri Light"/>
          <w:sz w:val="24"/>
          <w:szCs w:val="24"/>
          <w:lang w:val="it-IT"/>
        </w:rPr>
        <w:t>„</w:t>
      </w:r>
      <w:r w:rsidRPr="00586F1D">
        <w:rPr>
          <w:rFonts w:cs="Calibri Light"/>
          <w:sz w:val="24"/>
          <w:szCs w:val="24"/>
          <w:lang w:val="it-IT"/>
        </w:rPr>
        <w:t>etnomuzykologii migracji</w:t>
      </w:r>
      <w:r w:rsidR="007430A8" w:rsidRPr="00586F1D">
        <w:rPr>
          <w:rFonts w:cs="Calibri Light"/>
          <w:sz w:val="24"/>
          <w:szCs w:val="24"/>
          <w:lang w:val="it-IT"/>
        </w:rPr>
        <w:t>”</w:t>
      </w:r>
      <w:r w:rsidRPr="00586F1D">
        <w:rPr>
          <w:rFonts w:cs="Calibri Light"/>
          <w:sz w:val="24"/>
          <w:szCs w:val="24"/>
          <w:lang w:val="it-IT"/>
        </w:rPr>
        <w:t>.</w:t>
      </w:r>
    </w:p>
    <w:p w:rsidR="005B7585" w:rsidRDefault="005B7585" w:rsidP="005B7585">
      <w:pPr>
        <w:jc w:val="right"/>
        <w:rPr>
          <w:rFonts w:cs="Calibri Light"/>
          <w:sz w:val="24"/>
          <w:szCs w:val="24"/>
          <w:lang w:val="it-IT"/>
        </w:rPr>
      </w:pPr>
      <w:r w:rsidRPr="00586F1D">
        <w:rPr>
          <w:rFonts w:cs="Calibri Light"/>
          <w:sz w:val="24"/>
          <w:szCs w:val="24"/>
          <w:lang w:val="it-IT"/>
        </w:rPr>
        <w:t>(30 XI 2021)</w:t>
      </w:r>
    </w:p>
    <w:p w:rsidR="00C62275" w:rsidRPr="00586F1D" w:rsidRDefault="00C62275" w:rsidP="005B7585">
      <w:pPr>
        <w:jc w:val="right"/>
        <w:rPr>
          <w:rFonts w:cs="Calibri Light"/>
          <w:sz w:val="24"/>
          <w:szCs w:val="24"/>
          <w:lang w:val="it-IT"/>
        </w:rPr>
      </w:pPr>
    </w:p>
    <w:p w:rsidR="005B7585" w:rsidRPr="00586F1D" w:rsidRDefault="005B7585" w:rsidP="005B7585">
      <w:pPr>
        <w:rPr>
          <w:rFonts w:cs="Calibri Light"/>
          <w:sz w:val="24"/>
          <w:szCs w:val="24"/>
        </w:rPr>
      </w:pPr>
    </w:p>
    <w:p w:rsidR="005B7585" w:rsidRPr="00586F1D" w:rsidRDefault="005B7585" w:rsidP="00C62275">
      <w:pPr>
        <w:pStyle w:val="Nagwek2"/>
        <w:rPr>
          <w:lang w:val="it-IT"/>
        </w:rPr>
      </w:pPr>
      <w:bookmarkStart w:id="14" w:name="_Toc178250021"/>
      <w:r w:rsidRPr="00586F1D">
        <w:t xml:space="preserve">Michał </w:t>
      </w:r>
      <w:proofErr w:type="spellStart"/>
      <w:r w:rsidRPr="00586F1D">
        <w:t>Jaczyński</w:t>
      </w:r>
      <w:proofErr w:type="spellEnd"/>
      <w:r w:rsidRPr="00586F1D">
        <w:t xml:space="preserve"> (UJ), </w:t>
      </w:r>
      <w:r w:rsidRPr="00586F1D">
        <w:rPr>
          <w:lang w:val="it-IT"/>
        </w:rPr>
        <w:t>Muzyka żydowska w powszechnym życiu muzycznym Europy Środkowej w dwudziestoleciu międzywojennym</w:t>
      </w:r>
      <w:bookmarkEnd w:id="14"/>
    </w:p>
    <w:p w:rsidR="005B7585" w:rsidRPr="00586F1D" w:rsidRDefault="005B7585" w:rsidP="004406BA">
      <w:pPr>
        <w:jc w:val="both"/>
        <w:rPr>
          <w:rFonts w:cs="Calibri Light"/>
          <w:sz w:val="24"/>
          <w:szCs w:val="24"/>
        </w:rPr>
      </w:pPr>
      <w:r w:rsidRPr="00586F1D">
        <w:rPr>
          <w:rFonts w:cs="Calibri Light"/>
          <w:sz w:val="24"/>
          <w:szCs w:val="24"/>
        </w:rPr>
        <w:t xml:space="preserve">Celem prowadzonych przez Michała </w:t>
      </w:r>
      <w:proofErr w:type="spellStart"/>
      <w:r w:rsidRPr="00586F1D">
        <w:rPr>
          <w:rFonts w:cs="Calibri Light"/>
          <w:sz w:val="24"/>
          <w:szCs w:val="24"/>
        </w:rPr>
        <w:t>Jaczyńskiego</w:t>
      </w:r>
      <w:proofErr w:type="spellEnd"/>
      <w:r w:rsidRPr="00586F1D">
        <w:rPr>
          <w:rFonts w:cs="Calibri Light"/>
          <w:sz w:val="24"/>
          <w:szCs w:val="24"/>
        </w:rPr>
        <w:t xml:space="preserve"> badań jest prześledzenie form obecności muzyki żydowskiej – artystycznej i popularnej – w powszechnej kulturze muzycznej dwudziestolecia międzywojennego, w czterech ośrodkach wielkomiejskich: Wiedniu, Pradze, Warszawie i Lwowie.</w:t>
      </w:r>
    </w:p>
    <w:p w:rsidR="005B7585" w:rsidRPr="00586F1D" w:rsidRDefault="005B7585" w:rsidP="004406BA">
      <w:pPr>
        <w:jc w:val="both"/>
        <w:rPr>
          <w:rFonts w:cs="Calibri Light"/>
          <w:sz w:val="24"/>
          <w:szCs w:val="24"/>
        </w:rPr>
      </w:pPr>
      <w:r w:rsidRPr="00586F1D">
        <w:rPr>
          <w:rFonts w:cs="Calibri Light"/>
          <w:sz w:val="24"/>
          <w:szCs w:val="24"/>
        </w:rPr>
        <w:t xml:space="preserve">Osadzenie badań w dwudziestoleciu międzywojennym wyznacza perspektywę spoglądania na muzykę żydowską jako element już funkcjonujący w powszechnej kulturze muzycznej, lecz stanowiący przedmiot sporów i dyskusji nie mniej gorących niż te, które miały miejsce w XIX wieku, a więc w okresie, kiedy rozpoczął się transfer mniejszościowej kultury żydowskiej do sfery publicznej. W omawianym okresie o formach obecności muzyki żydowskiej na oficjalnym rynku muzycznym decyduje nadal napięcie między tym, co przyswojone i tym, co </w:t>
      </w:r>
      <w:r w:rsidR="007430A8" w:rsidRPr="00586F1D">
        <w:rPr>
          <w:rFonts w:cs="Calibri Light"/>
          <w:sz w:val="24"/>
          <w:szCs w:val="24"/>
        </w:rPr>
        <w:t>„</w:t>
      </w:r>
      <w:r w:rsidRPr="00586F1D">
        <w:rPr>
          <w:rFonts w:cs="Calibri Light"/>
          <w:sz w:val="24"/>
          <w:szCs w:val="24"/>
        </w:rPr>
        <w:t>obce</w:t>
      </w:r>
      <w:r w:rsidR="007430A8" w:rsidRPr="00586F1D">
        <w:rPr>
          <w:rFonts w:cs="Calibri Light"/>
          <w:sz w:val="24"/>
          <w:szCs w:val="24"/>
        </w:rPr>
        <w:t>”</w:t>
      </w:r>
      <w:r w:rsidRPr="00586F1D">
        <w:rPr>
          <w:rFonts w:cs="Calibri Light"/>
          <w:sz w:val="24"/>
          <w:szCs w:val="24"/>
        </w:rPr>
        <w:t>. Jest ono widoczne zarówno na poziomie dyskusji estetycznych (także tych toczonych wewnątrz środowiska żydowskiego), jak i – szczególnie intensywnych – sporów społecznych i politycznych, które w latach 30. będą decydować o wycofywaniu się twórców muzyki żydowskiej do sfery mniejszościowej.</w:t>
      </w:r>
    </w:p>
    <w:p w:rsidR="005B7585" w:rsidRPr="00586F1D" w:rsidRDefault="005B7585" w:rsidP="005B7585">
      <w:pPr>
        <w:jc w:val="right"/>
        <w:rPr>
          <w:rFonts w:cs="Calibri Light"/>
          <w:sz w:val="24"/>
          <w:szCs w:val="24"/>
        </w:rPr>
      </w:pPr>
      <w:r w:rsidRPr="00586F1D">
        <w:rPr>
          <w:rFonts w:cs="Calibri Light"/>
          <w:sz w:val="24"/>
          <w:szCs w:val="24"/>
        </w:rPr>
        <w:t>(22 II 2022)</w:t>
      </w:r>
    </w:p>
    <w:p w:rsidR="00586F1D" w:rsidRDefault="00586F1D" w:rsidP="005B7585">
      <w:pPr>
        <w:jc w:val="right"/>
        <w:rPr>
          <w:rFonts w:cs="Calibri Light"/>
          <w:sz w:val="24"/>
          <w:szCs w:val="24"/>
        </w:rPr>
      </w:pPr>
    </w:p>
    <w:p w:rsidR="00C62275" w:rsidRPr="00586F1D" w:rsidRDefault="00C62275" w:rsidP="005B7585">
      <w:pPr>
        <w:jc w:val="right"/>
        <w:rPr>
          <w:rFonts w:cs="Calibri Light"/>
          <w:sz w:val="24"/>
          <w:szCs w:val="24"/>
        </w:rPr>
      </w:pPr>
    </w:p>
    <w:p w:rsidR="005B7585" w:rsidRPr="00586F1D" w:rsidRDefault="005B7585" w:rsidP="00C62275">
      <w:pPr>
        <w:pStyle w:val="Nagwek2"/>
        <w:rPr>
          <w:lang w:val="it-IT"/>
        </w:rPr>
      </w:pPr>
      <w:bookmarkStart w:id="15" w:name="_Toc178250022"/>
      <w:r w:rsidRPr="00586F1D">
        <w:t>Karolina Kondracka</w:t>
      </w:r>
      <w:r w:rsidR="0061638B" w:rsidRPr="00586F1D">
        <w:t xml:space="preserve"> (IS PAN)</w:t>
      </w:r>
      <w:r w:rsidRPr="00586F1D">
        <w:t xml:space="preserve">, </w:t>
      </w:r>
      <w:r w:rsidRPr="00586F1D">
        <w:rPr>
          <w:lang w:val="it-IT"/>
        </w:rPr>
        <w:t>Muzyka Jakutów w relacjach polskich zesłańców na Syberię</w:t>
      </w:r>
      <w:bookmarkEnd w:id="15"/>
    </w:p>
    <w:p w:rsidR="005B7585" w:rsidRPr="00586F1D" w:rsidRDefault="005B7585" w:rsidP="004406BA">
      <w:pPr>
        <w:jc w:val="both"/>
        <w:rPr>
          <w:rFonts w:cs="Calibri Light"/>
          <w:sz w:val="24"/>
          <w:szCs w:val="24"/>
        </w:rPr>
      </w:pPr>
      <w:r w:rsidRPr="00586F1D">
        <w:rPr>
          <w:rFonts w:cs="Calibri Light"/>
          <w:sz w:val="24"/>
          <w:szCs w:val="24"/>
        </w:rPr>
        <w:t xml:space="preserve">Celem wykładu będzie omówienie polskich badań nad muzyką Jakutów na przełomie XIX i XX wieku oraz przedstawienie sylwetek zesłańców, którzy pozostawili po sobie materiały dotyczące kultury i sztuki tego niezwykłego ludu. </w:t>
      </w:r>
    </w:p>
    <w:p w:rsidR="005B7585" w:rsidRPr="00586F1D" w:rsidRDefault="005B7585" w:rsidP="004406BA">
      <w:pPr>
        <w:jc w:val="both"/>
        <w:rPr>
          <w:rFonts w:cs="Calibri Light"/>
          <w:sz w:val="24"/>
          <w:szCs w:val="24"/>
        </w:rPr>
      </w:pPr>
      <w:r w:rsidRPr="00586F1D">
        <w:rPr>
          <w:rFonts w:cs="Calibri Light"/>
          <w:sz w:val="24"/>
          <w:szCs w:val="24"/>
        </w:rPr>
        <w:t xml:space="preserve">XIX wiek był okresem, w którym cesarstwo rosyjskie zsyłało ogromną liczbę Polaków na Syberię. To właśnie tam znaleźli się: Wacław Sieroszewski, Edward Piekarski, Mikołaj </w:t>
      </w:r>
      <w:proofErr w:type="spellStart"/>
      <w:r w:rsidRPr="00586F1D">
        <w:rPr>
          <w:rFonts w:cs="Calibri Light"/>
          <w:sz w:val="24"/>
          <w:szCs w:val="24"/>
        </w:rPr>
        <w:t>Witaszewski</w:t>
      </w:r>
      <w:proofErr w:type="spellEnd"/>
      <w:r w:rsidRPr="00586F1D">
        <w:rPr>
          <w:rFonts w:cs="Calibri Light"/>
          <w:sz w:val="24"/>
          <w:szCs w:val="24"/>
        </w:rPr>
        <w:t xml:space="preserve">, Bazyli </w:t>
      </w:r>
      <w:proofErr w:type="spellStart"/>
      <w:r w:rsidRPr="00586F1D">
        <w:rPr>
          <w:rFonts w:cs="Calibri Light"/>
          <w:sz w:val="24"/>
          <w:szCs w:val="24"/>
        </w:rPr>
        <w:t>Troszczański</w:t>
      </w:r>
      <w:proofErr w:type="spellEnd"/>
      <w:r w:rsidRPr="00586F1D">
        <w:rPr>
          <w:rFonts w:cs="Calibri Light"/>
          <w:sz w:val="24"/>
          <w:szCs w:val="24"/>
        </w:rPr>
        <w:t xml:space="preserve"> i Sergiusz Jastrzębski, późniejsi znamienici badacze jakuckiej sztuki. </w:t>
      </w:r>
    </w:p>
    <w:p w:rsidR="005B7585" w:rsidRPr="00586F1D" w:rsidRDefault="005B7585" w:rsidP="004406BA">
      <w:pPr>
        <w:jc w:val="both"/>
        <w:rPr>
          <w:rFonts w:cs="Calibri Light"/>
          <w:sz w:val="24"/>
          <w:szCs w:val="24"/>
        </w:rPr>
      </w:pPr>
      <w:r w:rsidRPr="00586F1D">
        <w:rPr>
          <w:rFonts w:cs="Calibri Light"/>
          <w:sz w:val="24"/>
          <w:szCs w:val="24"/>
        </w:rPr>
        <w:t>Zajmowali się zbieraniem i spisywaniem bajek, pieśni i legend; wierzeń i obyczajów oraz folkloru. Nie obce były im badania terenowe, ekspedycje naukowe oraz muzyka. I to właśnie tej ostatniej zostanie poświęcony wykład, bowiem pozostawione przez zesłańców zapiski należą do jednych z pierwszych tego typu danych w dobie szybko postępującej rusyfikacji.</w:t>
      </w:r>
    </w:p>
    <w:p w:rsidR="005B7585" w:rsidRPr="00586F1D" w:rsidRDefault="005B7585" w:rsidP="004406BA">
      <w:pPr>
        <w:jc w:val="both"/>
        <w:rPr>
          <w:rFonts w:cs="Calibri Light"/>
          <w:sz w:val="24"/>
          <w:szCs w:val="24"/>
        </w:rPr>
      </w:pPr>
      <w:r w:rsidRPr="00586F1D">
        <w:rPr>
          <w:rFonts w:cs="Calibri Light"/>
          <w:sz w:val="24"/>
          <w:szCs w:val="24"/>
        </w:rPr>
        <w:lastRenderedPageBreak/>
        <w:t xml:space="preserve">Czy polscy zesłańcy brali udział w seansach szamańskich? Czy zetknęli się z instrumentami muzycznymi? Co myśleli o pieśniach i legendach Jakutów? Na te oraz inne pytania postara się odpowiedzieć referentka w trakcie wykładu. </w:t>
      </w:r>
    </w:p>
    <w:p w:rsidR="005B7585" w:rsidRDefault="005B7585" w:rsidP="000D0CD9">
      <w:pPr>
        <w:jc w:val="right"/>
        <w:rPr>
          <w:rFonts w:cs="Calibri Light"/>
          <w:sz w:val="24"/>
          <w:szCs w:val="24"/>
        </w:rPr>
      </w:pPr>
      <w:r w:rsidRPr="00586F1D">
        <w:rPr>
          <w:rFonts w:cs="Calibri Light"/>
          <w:sz w:val="24"/>
          <w:szCs w:val="24"/>
        </w:rPr>
        <w:t>(</w:t>
      </w:r>
      <w:r w:rsidR="000D0CD9" w:rsidRPr="00586F1D">
        <w:rPr>
          <w:rFonts w:cs="Calibri Light"/>
          <w:sz w:val="24"/>
          <w:szCs w:val="24"/>
        </w:rPr>
        <w:t>29 III 2022)</w:t>
      </w:r>
    </w:p>
    <w:p w:rsidR="00C62275" w:rsidRPr="00586F1D" w:rsidRDefault="00C62275" w:rsidP="000D0CD9">
      <w:pPr>
        <w:jc w:val="right"/>
        <w:rPr>
          <w:rFonts w:cs="Calibri Light"/>
          <w:sz w:val="24"/>
          <w:szCs w:val="24"/>
        </w:rPr>
      </w:pPr>
    </w:p>
    <w:p w:rsidR="005B7585" w:rsidRPr="00586F1D" w:rsidRDefault="005B7585" w:rsidP="005B7585">
      <w:pPr>
        <w:rPr>
          <w:rFonts w:cs="Calibri Light"/>
          <w:sz w:val="24"/>
          <w:szCs w:val="24"/>
        </w:rPr>
      </w:pPr>
    </w:p>
    <w:p w:rsidR="005B7585" w:rsidRPr="00586F1D" w:rsidRDefault="000D0CD9" w:rsidP="00C62275">
      <w:pPr>
        <w:pStyle w:val="Nagwek2"/>
        <w:rPr>
          <w:lang w:eastAsia="pl-PL"/>
        </w:rPr>
      </w:pPr>
      <w:bookmarkStart w:id="16" w:name="_Toc178250023"/>
      <w:r w:rsidRPr="00586F1D">
        <w:rPr>
          <w:lang w:eastAsia="pl-PL"/>
        </w:rPr>
        <w:t xml:space="preserve">Michał Piekarski (IHN PAN), Konrad </w:t>
      </w:r>
      <w:proofErr w:type="spellStart"/>
      <w:r w:rsidRPr="00586F1D">
        <w:rPr>
          <w:lang w:eastAsia="pl-PL"/>
        </w:rPr>
        <w:t>Zawiłowski</w:t>
      </w:r>
      <w:proofErr w:type="spellEnd"/>
      <w:r w:rsidRPr="00586F1D">
        <w:rPr>
          <w:lang w:eastAsia="pl-PL"/>
        </w:rPr>
        <w:t xml:space="preserve"> i Julian </w:t>
      </w:r>
      <w:proofErr w:type="spellStart"/>
      <w:r w:rsidRPr="00586F1D">
        <w:rPr>
          <w:lang w:eastAsia="pl-PL"/>
        </w:rPr>
        <w:t>Pulikowski</w:t>
      </w:r>
      <w:proofErr w:type="spellEnd"/>
      <w:r w:rsidRPr="00586F1D">
        <w:rPr>
          <w:lang w:eastAsia="pl-PL"/>
        </w:rPr>
        <w:t xml:space="preserve"> – dwie drogi kariery po uzyskaniu dyplomu z muzykologii na Uniwersytecie Wiedeńskim</w:t>
      </w:r>
      <w:bookmarkEnd w:id="16"/>
    </w:p>
    <w:p w:rsidR="00EE1C14" w:rsidRPr="00586F1D" w:rsidRDefault="00EE1C14" w:rsidP="00EE1C14">
      <w:pPr>
        <w:rPr>
          <w:rFonts w:cs="Calibri Light"/>
          <w:sz w:val="24"/>
          <w:szCs w:val="24"/>
          <w:lang w:eastAsia="pl-PL"/>
        </w:rPr>
      </w:pPr>
      <w:r w:rsidRPr="00586F1D">
        <w:rPr>
          <w:rFonts w:cs="Calibri Light"/>
          <w:sz w:val="24"/>
          <w:szCs w:val="24"/>
          <w:lang w:eastAsia="pl-PL"/>
        </w:rPr>
        <w:t xml:space="preserve">Muzykologia jako dyscyplina uniwersytecka pojawiła się pod koniec XIX w. Pierwszy Instytut Muzykologii powstał na Uniwersytecie Wiedeńskim w 1898 r. Wkrótce w ramach nowej dyscypliny akademickiej zaczęli się kształcić także studenci z ziem polskich. Do 1938 r. uczelnia wiedeńska doczekała się 25 absolwentów, którzy byli narodowości polskiej lub pochodzili z ziem polskich. Pierwszym polskim muzykologiem został w 1902 r. Konrad </w:t>
      </w:r>
      <w:proofErr w:type="spellStart"/>
      <w:r w:rsidRPr="00586F1D">
        <w:rPr>
          <w:rFonts w:cs="Calibri Light"/>
          <w:sz w:val="24"/>
          <w:szCs w:val="24"/>
          <w:lang w:eastAsia="pl-PL"/>
        </w:rPr>
        <w:t>Zawiłowski</w:t>
      </w:r>
      <w:proofErr w:type="spellEnd"/>
      <w:r w:rsidRPr="00586F1D">
        <w:rPr>
          <w:rFonts w:cs="Calibri Light"/>
          <w:sz w:val="24"/>
          <w:szCs w:val="24"/>
          <w:lang w:eastAsia="pl-PL"/>
        </w:rPr>
        <w:t xml:space="preserve">. Absolwentem wiedeńskiej muzykologii był także Zdzisław Jachimecki, który po ukończeniu studiów w 1906 r. jako wykładowca wprowadził w 1911 r. dyscyplinę w mury Uniwersytetu Jagiellońskiego. Do jednego z ostatnich polskich absolwentów wiedeńskiej muzykologii sprzed 1938 r. należał Julian </w:t>
      </w:r>
      <w:proofErr w:type="spellStart"/>
      <w:r w:rsidRPr="00586F1D">
        <w:rPr>
          <w:rFonts w:cs="Calibri Light"/>
          <w:sz w:val="24"/>
          <w:szCs w:val="24"/>
          <w:lang w:eastAsia="pl-PL"/>
        </w:rPr>
        <w:t>Pulikowski</w:t>
      </w:r>
      <w:proofErr w:type="spellEnd"/>
      <w:r w:rsidRPr="00586F1D">
        <w:rPr>
          <w:rFonts w:cs="Calibri Light"/>
          <w:sz w:val="24"/>
          <w:szCs w:val="24"/>
          <w:lang w:eastAsia="pl-PL"/>
        </w:rPr>
        <w:t xml:space="preserve">, który dyplom uzyskał w 1932 r. </w:t>
      </w:r>
      <w:proofErr w:type="spellStart"/>
      <w:r w:rsidRPr="00586F1D">
        <w:rPr>
          <w:rFonts w:cs="Calibri Light"/>
          <w:sz w:val="24"/>
          <w:szCs w:val="24"/>
          <w:lang w:eastAsia="pl-PL"/>
        </w:rPr>
        <w:t>Pulikowski</w:t>
      </w:r>
      <w:proofErr w:type="spellEnd"/>
      <w:r w:rsidRPr="00586F1D">
        <w:rPr>
          <w:rFonts w:cs="Calibri Light"/>
          <w:sz w:val="24"/>
          <w:szCs w:val="24"/>
          <w:lang w:eastAsia="pl-PL"/>
        </w:rPr>
        <w:t xml:space="preserve"> odznaczył się jako pierwszy wykładowca muzykologii na Uniwersytecie Warszawskim (1935–1939). </w:t>
      </w:r>
    </w:p>
    <w:p w:rsidR="00EE1C14" w:rsidRPr="00586F1D" w:rsidRDefault="00EE1C14" w:rsidP="00EE1C14">
      <w:pPr>
        <w:rPr>
          <w:rFonts w:cs="Calibri Light"/>
          <w:sz w:val="24"/>
          <w:szCs w:val="24"/>
          <w:lang w:eastAsia="pl-PL"/>
        </w:rPr>
      </w:pPr>
      <w:r w:rsidRPr="00586F1D">
        <w:rPr>
          <w:rFonts w:cs="Calibri Light"/>
          <w:sz w:val="24"/>
          <w:szCs w:val="24"/>
          <w:lang w:eastAsia="pl-PL"/>
        </w:rPr>
        <w:t xml:space="preserve">Różne były drogi i motywacje prowadzące do obrania studiów muzykologicznych. Dla studentów z ziem polskich wiązały się one z decyzją wyjazdu do Wiednia, który przyciągał nie tylko ze względu na oferowane studia. Różne były też uwarunkowania dotyczące samych studiów. W czasach </w:t>
      </w:r>
      <w:proofErr w:type="spellStart"/>
      <w:r w:rsidRPr="00586F1D">
        <w:rPr>
          <w:rFonts w:cs="Calibri Light"/>
          <w:sz w:val="24"/>
          <w:szCs w:val="24"/>
          <w:lang w:eastAsia="pl-PL"/>
        </w:rPr>
        <w:t>Zawiłowskiego</w:t>
      </w:r>
      <w:proofErr w:type="spellEnd"/>
      <w:r w:rsidRPr="00586F1D">
        <w:rPr>
          <w:rFonts w:cs="Calibri Light"/>
          <w:sz w:val="24"/>
          <w:szCs w:val="24"/>
          <w:lang w:eastAsia="pl-PL"/>
        </w:rPr>
        <w:t xml:space="preserve"> muzykologia była dziedziną wiedzy nieznaną poza wąskim kręgiem zainteresowanych, w okresie gdy studiował </w:t>
      </w:r>
      <w:proofErr w:type="spellStart"/>
      <w:r w:rsidRPr="00586F1D">
        <w:rPr>
          <w:rFonts w:cs="Calibri Light"/>
          <w:sz w:val="24"/>
          <w:szCs w:val="24"/>
          <w:lang w:eastAsia="pl-PL"/>
        </w:rPr>
        <w:t>Pulikowski</w:t>
      </w:r>
      <w:proofErr w:type="spellEnd"/>
      <w:r w:rsidRPr="00586F1D">
        <w:rPr>
          <w:rFonts w:cs="Calibri Light"/>
          <w:sz w:val="24"/>
          <w:szCs w:val="24"/>
          <w:lang w:eastAsia="pl-PL"/>
        </w:rPr>
        <w:t xml:space="preserve"> miała już w Wiedniu ugruntowaną pozycję wśród nauk uniwersyteckich. Odmiennie kształtowały się też kariery absolwentów wiedeńskiej uczelni. Choć </w:t>
      </w:r>
      <w:proofErr w:type="spellStart"/>
      <w:r w:rsidRPr="00586F1D">
        <w:rPr>
          <w:rFonts w:cs="Calibri Light"/>
          <w:sz w:val="24"/>
          <w:szCs w:val="24"/>
          <w:lang w:eastAsia="pl-PL"/>
        </w:rPr>
        <w:t>Zawiłowski</w:t>
      </w:r>
      <w:proofErr w:type="spellEnd"/>
      <w:r w:rsidRPr="00586F1D">
        <w:rPr>
          <w:rFonts w:cs="Calibri Light"/>
          <w:sz w:val="24"/>
          <w:szCs w:val="24"/>
          <w:lang w:eastAsia="pl-PL"/>
        </w:rPr>
        <w:t xml:space="preserve"> uzyskał dyplom doktorski, ostatecznie obrał karierę artystyczną, dlatego zasłynął jako „śpiewający doktor”. Poprzez działalność </w:t>
      </w:r>
      <w:proofErr w:type="spellStart"/>
      <w:r w:rsidRPr="00586F1D">
        <w:rPr>
          <w:rFonts w:cs="Calibri Light"/>
          <w:sz w:val="24"/>
          <w:szCs w:val="24"/>
          <w:lang w:eastAsia="pl-PL"/>
        </w:rPr>
        <w:t>Pulikowskiego</w:t>
      </w:r>
      <w:proofErr w:type="spellEnd"/>
      <w:r w:rsidRPr="00586F1D">
        <w:rPr>
          <w:rFonts w:cs="Calibri Light"/>
          <w:sz w:val="24"/>
          <w:szCs w:val="24"/>
          <w:lang w:eastAsia="pl-PL"/>
        </w:rPr>
        <w:t xml:space="preserve"> możemy zaobserwować dość oczywisty wpływ ośrodka wiedeńskiego na muzykologię warszawską, zaś za sprawą kontaktów nieformalnych zauważalne jest mniej oczywiste oddziaływanie ośrodka lwowskiego z jego założycielem i kierownikiem Adolfem Chybińskim.  </w:t>
      </w:r>
    </w:p>
    <w:p w:rsidR="000D0CD9" w:rsidRPr="00586F1D" w:rsidRDefault="000D0CD9" w:rsidP="000D0CD9">
      <w:pPr>
        <w:jc w:val="right"/>
        <w:rPr>
          <w:rFonts w:cs="Calibri Light"/>
          <w:sz w:val="24"/>
          <w:szCs w:val="24"/>
          <w:lang w:eastAsia="pl-PL"/>
        </w:rPr>
      </w:pPr>
      <w:r w:rsidRPr="00586F1D">
        <w:rPr>
          <w:rFonts w:cs="Calibri Light"/>
          <w:sz w:val="24"/>
          <w:szCs w:val="24"/>
          <w:lang w:eastAsia="pl-PL"/>
        </w:rPr>
        <w:t>(25 X 2022)</w:t>
      </w:r>
    </w:p>
    <w:p w:rsidR="00A75C6F" w:rsidRDefault="00A75C6F" w:rsidP="000D0CD9">
      <w:pPr>
        <w:jc w:val="right"/>
        <w:rPr>
          <w:rFonts w:cs="Calibri Light"/>
          <w:sz w:val="24"/>
          <w:szCs w:val="24"/>
          <w:lang w:eastAsia="pl-PL"/>
        </w:rPr>
      </w:pPr>
    </w:p>
    <w:p w:rsidR="00C62275" w:rsidRPr="00586F1D" w:rsidRDefault="00C62275" w:rsidP="000D0CD9">
      <w:pPr>
        <w:jc w:val="right"/>
        <w:rPr>
          <w:rFonts w:cs="Calibri Light"/>
          <w:sz w:val="24"/>
          <w:szCs w:val="24"/>
          <w:lang w:eastAsia="pl-PL"/>
        </w:rPr>
      </w:pPr>
    </w:p>
    <w:p w:rsidR="000D0CD9" w:rsidRPr="00586F1D" w:rsidRDefault="000D0CD9" w:rsidP="00C62275">
      <w:pPr>
        <w:pStyle w:val="Nagwek2"/>
        <w:rPr>
          <w:lang w:eastAsia="pl-PL"/>
        </w:rPr>
      </w:pPr>
      <w:bookmarkStart w:id="17" w:name="_Toc178250024"/>
      <w:r w:rsidRPr="00586F1D">
        <w:rPr>
          <w:lang w:eastAsia="pl-PL"/>
        </w:rPr>
        <w:t>Barbara Mielcarek-Krzyżanowska</w:t>
      </w:r>
      <w:r w:rsidR="0061638B" w:rsidRPr="00586F1D">
        <w:rPr>
          <w:lang w:eastAsia="pl-PL"/>
        </w:rPr>
        <w:t xml:space="preserve"> (AM Bydgoszcz)</w:t>
      </w:r>
      <w:r w:rsidRPr="00586F1D">
        <w:rPr>
          <w:lang w:eastAsia="pl-PL"/>
        </w:rPr>
        <w:t xml:space="preserve">, Między Polską a Francją – działalność Marii </w:t>
      </w:r>
      <w:proofErr w:type="spellStart"/>
      <w:r w:rsidRPr="00586F1D">
        <w:rPr>
          <w:lang w:eastAsia="pl-PL"/>
        </w:rPr>
        <w:t>Modrakowskiej</w:t>
      </w:r>
      <w:bookmarkEnd w:id="17"/>
      <w:proofErr w:type="spellEnd"/>
    </w:p>
    <w:p w:rsidR="000D0CD9" w:rsidRPr="00586F1D" w:rsidRDefault="000D0CD9" w:rsidP="004406BA">
      <w:pPr>
        <w:jc w:val="both"/>
        <w:rPr>
          <w:rFonts w:cs="Calibri Light"/>
          <w:sz w:val="24"/>
          <w:szCs w:val="24"/>
        </w:rPr>
      </w:pPr>
      <w:r w:rsidRPr="00586F1D">
        <w:rPr>
          <w:rFonts w:cs="Calibri Light"/>
          <w:sz w:val="24"/>
          <w:szCs w:val="24"/>
        </w:rPr>
        <w:t>Międzywojenny Paryż był miastem nieograniczonych możliwości dla artystów reprezentujących rozmaite dyscypliny sztuki. To tam młodych polskich kompozytorów wys</w:t>
      </w:r>
      <w:r w:rsidR="004406BA" w:rsidRPr="00586F1D">
        <w:rPr>
          <w:rFonts w:cs="Calibri Light"/>
          <w:sz w:val="24"/>
          <w:szCs w:val="24"/>
        </w:rPr>
        <w:t xml:space="preserve">yłał na studia u Paula </w:t>
      </w:r>
      <w:proofErr w:type="spellStart"/>
      <w:r w:rsidR="004406BA" w:rsidRPr="00586F1D">
        <w:rPr>
          <w:rFonts w:cs="Calibri Light"/>
          <w:sz w:val="24"/>
          <w:szCs w:val="24"/>
        </w:rPr>
        <w:t>Dukasa</w:t>
      </w:r>
      <w:proofErr w:type="spellEnd"/>
      <w:r w:rsidR="004406BA" w:rsidRPr="00586F1D">
        <w:rPr>
          <w:rFonts w:cs="Calibri Light"/>
          <w:sz w:val="24"/>
          <w:szCs w:val="24"/>
        </w:rPr>
        <w:t xml:space="preserve"> i </w:t>
      </w:r>
      <w:r w:rsidRPr="00586F1D">
        <w:rPr>
          <w:rFonts w:cs="Calibri Light"/>
          <w:sz w:val="24"/>
          <w:szCs w:val="24"/>
        </w:rPr>
        <w:t xml:space="preserve">Nadii Boulanger Karol Szymanowski. W </w:t>
      </w:r>
      <w:proofErr w:type="spellStart"/>
      <w:r w:rsidRPr="00586F1D">
        <w:rPr>
          <w:rFonts w:cs="Calibri Light"/>
          <w:sz w:val="24"/>
          <w:szCs w:val="24"/>
        </w:rPr>
        <w:t>École</w:t>
      </w:r>
      <w:proofErr w:type="spellEnd"/>
      <w:r w:rsidRPr="00586F1D">
        <w:rPr>
          <w:rFonts w:cs="Calibri Light"/>
          <w:sz w:val="24"/>
          <w:szCs w:val="24"/>
        </w:rPr>
        <w:t xml:space="preserve"> </w:t>
      </w:r>
      <w:proofErr w:type="spellStart"/>
      <w:r w:rsidRPr="00586F1D">
        <w:rPr>
          <w:rFonts w:cs="Calibri Light"/>
          <w:sz w:val="24"/>
          <w:szCs w:val="24"/>
        </w:rPr>
        <w:t>Normale</w:t>
      </w:r>
      <w:proofErr w:type="spellEnd"/>
      <w:r w:rsidRPr="00586F1D">
        <w:rPr>
          <w:rFonts w:cs="Calibri Light"/>
          <w:sz w:val="24"/>
          <w:szCs w:val="24"/>
        </w:rPr>
        <w:t xml:space="preserve"> de </w:t>
      </w:r>
      <w:proofErr w:type="spellStart"/>
      <w:r w:rsidRPr="00586F1D">
        <w:rPr>
          <w:rFonts w:cs="Calibri Light"/>
          <w:sz w:val="24"/>
          <w:szCs w:val="24"/>
        </w:rPr>
        <w:t>Musique</w:t>
      </w:r>
      <w:proofErr w:type="spellEnd"/>
      <w:r w:rsidRPr="00586F1D">
        <w:rPr>
          <w:rFonts w:cs="Calibri Light"/>
          <w:sz w:val="24"/>
          <w:szCs w:val="24"/>
        </w:rPr>
        <w:t xml:space="preserve"> </w:t>
      </w:r>
      <w:r w:rsidRPr="00586F1D">
        <w:rPr>
          <w:rFonts w:cs="Calibri Light"/>
          <w:sz w:val="24"/>
          <w:szCs w:val="24"/>
        </w:rPr>
        <w:lastRenderedPageBreak/>
        <w:t>kształcili się jednak nie tylko twórcy, ale i wybitni wykonawcy. O ile dla pierwszych Paryż był gwarantem uniezależnienia ich języka muzycznego od wpływów niemieckich, dla drugich potrafił stać się miejscem rozpoczęcia wielkiej międzynarodowej kariery.</w:t>
      </w:r>
    </w:p>
    <w:p w:rsidR="000D0CD9" w:rsidRPr="00586F1D" w:rsidRDefault="000D0CD9" w:rsidP="004406BA">
      <w:pPr>
        <w:jc w:val="both"/>
        <w:rPr>
          <w:rFonts w:cs="Calibri Light"/>
          <w:sz w:val="24"/>
          <w:szCs w:val="24"/>
        </w:rPr>
      </w:pPr>
      <w:r w:rsidRPr="00586F1D">
        <w:rPr>
          <w:rFonts w:cs="Calibri Light"/>
          <w:sz w:val="24"/>
          <w:szCs w:val="24"/>
        </w:rPr>
        <w:t xml:space="preserve">W marcu 1931 roku, krótko po przyjeździe na stypendium artystyczne do stolicy Francji, a zarazem – jak pisała Renata Suchowiejko </w:t>
      </w:r>
      <w:r w:rsidR="007430A8" w:rsidRPr="00586F1D">
        <w:rPr>
          <w:rFonts w:cs="Calibri Light"/>
          <w:sz w:val="24"/>
          <w:szCs w:val="24"/>
        </w:rPr>
        <w:t>„</w:t>
      </w:r>
      <w:r w:rsidRPr="00586F1D">
        <w:rPr>
          <w:rFonts w:cs="Calibri Light"/>
          <w:sz w:val="24"/>
          <w:szCs w:val="24"/>
        </w:rPr>
        <w:t>drugiej, muzycznej stolicy Polski</w:t>
      </w:r>
      <w:r w:rsidR="007430A8" w:rsidRPr="00586F1D">
        <w:rPr>
          <w:rFonts w:cs="Calibri Light"/>
          <w:sz w:val="24"/>
          <w:szCs w:val="24"/>
        </w:rPr>
        <w:t>”</w:t>
      </w:r>
      <w:r w:rsidRPr="00586F1D">
        <w:rPr>
          <w:rFonts w:cs="Calibri Light"/>
          <w:sz w:val="24"/>
          <w:szCs w:val="24"/>
        </w:rPr>
        <w:t xml:space="preserve">, Maria </w:t>
      </w:r>
      <w:proofErr w:type="spellStart"/>
      <w:r w:rsidRPr="00586F1D">
        <w:rPr>
          <w:rFonts w:cs="Calibri Light"/>
          <w:sz w:val="24"/>
          <w:szCs w:val="24"/>
        </w:rPr>
        <w:t>Modrakowska</w:t>
      </w:r>
      <w:proofErr w:type="spellEnd"/>
      <w:r w:rsidRPr="00586F1D">
        <w:rPr>
          <w:rFonts w:cs="Calibri Light"/>
          <w:sz w:val="24"/>
          <w:szCs w:val="24"/>
        </w:rPr>
        <w:t xml:space="preserve"> interpretowała podczas koncertu Stowarzyszenia Młodych Muzyków Polskich lirykę wokalną kompozytorów studiujących wówczas w </w:t>
      </w:r>
      <w:proofErr w:type="spellStart"/>
      <w:r w:rsidRPr="00586F1D">
        <w:rPr>
          <w:rFonts w:cs="Calibri Light"/>
          <w:sz w:val="24"/>
          <w:szCs w:val="24"/>
        </w:rPr>
        <w:t>École</w:t>
      </w:r>
      <w:proofErr w:type="spellEnd"/>
      <w:r w:rsidRPr="00586F1D">
        <w:rPr>
          <w:rFonts w:cs="Calibri Light"/>
          <w:sz w:val="24"/>
          <w:szCs w:val="24"/>
        </w:rPr>
        <w:t xml:space="preserve"> </w:t>
      </w:r>
      <w:proofErr w:type="spellStart"/>
      <w:r w:rsidRPr="00586F1D">
        <w:rPr>
          <w:rFonts w:cs="Calibri Light"/>
          <w:sz w:val="24"/>
          <w:szCs w:val="24"/>
        </w:rPr>
        <w:t>Normale</w:t>
      </w:r>
      <w:proofErr w:type="spellEnd"/>
      <w:r w:rsidRPr="00586F1D">
        <w:rPr>
          <w:rFonts w:cs="Calibri Light"/>
          <w:sz w:val="24"/>
          <w:szCs w:val="24"/>
        </w:rPr>
        <w:t xml:space="preserve"> de </w:t>
      </w:r>
      <w:proofErr w:type="spellStart"/>
      <w:r w:rsidRPr="00586F1D">
        <w:rPr>
          <w:rFonts w:cs="Calibri Light"/>
          <w:sz w:val="24"/>
          <w:szCs w:val="24"/>
        </w:rPr>
        <w:t>Musique</w:t>
      </w:r>
      <w:proofErr w:type="spellEnd"/>
      <w:r w:rsidRPr="00586F1D">
        <w:rPr>
          <w:rFonts w:cs="Calibri Light"/>
          <w:sz w:val="24"/>
          <w:szCs w:val="24"/>
        </w:rPr>
        <w:t xml:space="preserve">. Po jej debiucie Georges </w:t>
      </w:r>
      <w:proofErr w:type="spellStart"/>
      <w:r w:rsidRPr="00586F1D">
        <w:rPr>
          <w:rFonts w:cs="Calibri Light"/>
          <w:sz w:val="24"/>
          <w:szCs w:val="24"/>
        </w:rPr>
        <w:t>Dandelot</w:t>
      </w:r>
      <w:proofErr w:type="spellEnd"/>
      <w:r w:rsidRPr="00586F1D">
        <w:rPr>
          <w:rFonts w:cs="Calibri Light"/>
          <w:sz w:val="24"/>
          <w:szCs w:val="24"/>
        </w:rPr>
        <w:t xml:space="preserve"> notował: </w:t>
      </w:r>
      <w:r w:rsidR="007430A8" w:rsidRPr="00586F1D">
        <w:rPr>
          <w:rFonts w:cs="Calibri Light"/>
          <w:sz w:val="24"/>
          <w:szCs w:val="24"/>
        </w:rPr>
        <w:t>„</w:t>
      </w:r>
      <w:r w:rsidRPr="00586F1D">
        <w:rPr>
          <w:rFonts w:cs="Calibri Light"/>
          <w:sz w:val="24"/>
          <w:szCs w:val="24"/>
        </w:rPr>
        <w:t>[…] ma wszystko, aby się podobać […] wdzięk, dostojność i jeden z najpiękniejszych głosów</w:t>
      </w:r>
      <w:r w:rsidR="007430A8" w:rsidRPr="00586F1D">
        <w:rPr>
          <w:rFonts w:cs="Calibri Light"/>
          <w:sz w:val="24"/>
          <w:szCs w:val="24"/>
        </w:rPr>
        <w:t>”</w:t>
      </w:r>
      <w:r w:rsidRPr="00586F1D">
        <w:rPr>
          <w:rFonts w:cs="Calibri Light"/>
          <w:sz w:val="24"/>
          <w:szCs w:val="24"/>
        </w:rPr>
        <w:t xml:space="preserve">, a kolejne koncerty i recitale utwierdzały krytyków w przekonaniu, że na paryskich scenach koncertowych pojawiła się zjawiskowa interpretatorka (nie tylko polskiej liryki wokalnej). Uznaniem dla talentu </w:t>
      </w:r>
      <w:proofErr w:type="spellStart"/>
      <w:r w:rsidRPr="00586F1D">
        <w:rPr>
          <w:rFonts w:cs="Calibri Light"/>
          <w:sz w:val="24"/>
          <w:szCs w:val="24"/>
        </w:rPr>
        <w:t>Modrakowskiej</w:t>
      </w:r>
      <w:proofErr w:type="spellEnd"/>
      <w:r w:rsidRPr="00586F1D">
        <w:rPr>
          <w:rFonts w:cs="Calibri Light"/>
          <w:sz w:val="24"/>
          <w:szCs w:val="24"/>
        </w:rPr>
        <w:t xml:space="preserve"> stało się zaangażowanie jej w </w:t>
      </w:r>
      <w:proofErr w:type="spellStart"/>
      <w:r w:rsidRPr="00586F1D">
        <w:rPr>
          <w:rFonts w:cs="Calibri Light"/>
          <w:sz w:val="24"/>
          <w:szCs w:val="24"/>
        </w:rPr>
        <w:t>Opéra</w:t>
      </w:r>
      <w:proofErr w:type="spellEnd"/>
      <w:r w:rsidRPr="00586F1D">
        <w:rPr>
          <w:rFonts w:cs="Calibri Light"/>
          <w:sz w:val="24"/>
          <w:szCs w:val="24"/>
        </w:rPr>
        <w:t xml:space="preserve"> </w:t>
      </w:r>
      <w:proofErr w:type="spellStart"/>
      <w:r w:rsidRPr="00586F1D">
        <w:rPr>
          <w:rFonts w:cs="Calibri Light"/>
          <w:sz w:val="24"/>
          <w:szCs w:val="24"/>
        </w:rPr>
        <w:t>Comique</w:t>
      </w:r>
      <w:proofErr w:type="spellEnd"/>
      <w:r w:rsidRPr="00586F1D">
        <w:rPr>
          <w:rFonts w:cs="Calibri Light"/>
          <w:sz w:val="24"/>
          <w:szCs w:val="24"/>
        </w:rPr>
        <w:t xml:space="preserve">, gdzie w 1932 roku kreowała główną rolę żeńską w operze </w:t>
      </w:r>
      <w:proofErr w:type="spellStart"/>
      <w:r w:rsidRPr="00586F1D">
        <w:rPr>
          <w:rFonts w:cs="Calibri Light"/>
          <w:i/>
          <w:sz w:val="24"/>
          <w:szCs w:val="24"/>
        </w:rPr>
        <w:t>Peleas</w:t>
      </w:r>
      <w:proofErr w:type="spellEnd"/>
      <w:r w:rsidRPr="00586F1D">
        <w:rPr>
          <w:rFonts w:cs="Calibri Light"/>
          <w:i/>
          <w:sz w:val="24"/>
          <w:szCs w:val="24"/>
        </w:rPr>
        <w:t xml:space="preserve"> i </w:t>
      </w:r>
      <w:proofErr w:type="spellStart"/>
      <w:r w:rsidRPr="00586F1D">
        <w:rPr>
          <w:rFonts w:cs="Calibri Light"/>
          <w:i/>
          <w:sz w:val="24"/>
          <w:szCs w:val="24"/>
        </w:rPr>
        <w:t>Melizanda</w:t>
      </w:r>
      <w:proofErr w:type="spellEnd"/>
      <w:r w:rsidRPr="00586F1D">
        <w:rPr>
          <w:rFonts w:cs="Calibri Light"/>
          <w:i/>
          <w:sz w:val="24"/>
          <w:szCs w:val="24"/>
        </w:rPr>
        <w:t xml:space="preserve"> </w:t>
      </w:r>
      <w:r w:rsidRPr="00586F1D">
        <w:rPr>
          <w:rFonts w:cs="Calibri Light"/>
          <w:sz w:val="24"/>
          <w:szCs w:val="24"/>
        </w:rPr>
        <w:t>Claude’a Debussy’ego.</w:t>
      </w:r>
    </w:p>
    <w:p w:rsidR="000D0CD9" w:rsidRPr="00586F1D" w:rsidRDefault="000D0CD9" w:rsidP="004406BA">
      <w:pPr>
        <w:jc w:val="both"/>
        <w:rPr>
          <w:rFonts w:cs="Calibri Light"/>
          <w:sz w:val="24"/>
          <w:szCs w:val="24"/>
        </w:rPr>
      </w:pPr>
      <w:r w:rsidRPr="00586F1D">
        <w:rPr>
          <w:rFonts w:cs="Calibri Light"/>
          <w:sz w:val="24"/>
          <w:szCs w:val="24"/>
        </w:rPr>
        <w:t xml:space="preserve">I choć nieprzecenione są jej zasługi w zakresie wprowadzania na estrady utworów polskich kompozytorów, rozpropagowania polskiej kultury we Francji (dla niej Francis </w:t>
      </w:r>
      <w:proofErr w:type="spellStart"/>
      <w:r w:rsidRPr="00586F1D">
        <w:rPr>
          <w:rFonts w:cs="Calibri Light"/>
          <w:sz w:val="24"/>
          <w:szCs w:val="24"/>
        </w:rPr>
        <w:t>Poulenc</w:t>
      </w:r>
      <w:proofErr w:type="spellEnd"/>
      <w:r w:rsidRPr="00586F1D">
        <w:rPr>
          <w:rFonts w:cs="Calibri Light"/>
          <w:sz w:val="24"/>
          <w:szCs w:val="24"/>
        </w:rPr>
        <w:t xml:space="preserve"> zharmonizował </w:t>
      </w:r>
      <w:r w:rsidRPr="00586F1D">
        <w:rPr>
          <w:rFonts w:cs="Calibri Light"/>
          <w:i/>
          <w:sz w:val="24"/>
          <w:szCs w:val="24"/>
        </w:rPr>
        <w:t>Osiem pieśni polskich</w:t>
      </w:r>
      <w:r w:rsidRPr="00586F1D">
        <w:rPr>
          <w:rFonts w:cs="Calibri Light"/>
          <w:sz w:val="24"/>
          <w:szCs w:val="24"/>
        </w:rPr>
        <w:t xml:space="preserve">, które wykonywali wspólnie m.in. podczas tournée w Europie i Afryce Północnej), zasłynęła także jako autorka barwnych felietonów publikowanych na łamach </w:t>
      </w:r>
      <w:r w:rsidR="007430A8" w:rsidRPr="00586F1D">
        <w:rPr>
          <w:rFonts w:cs="Calibri Light"/>
          <w:sz w:val="24"/>
          <w:szCs w:val="24"/>
        </w:rPr>
        <w:t>„</w:t>
      </w:r>
      <w:r w:rsidRPr="00586F1D">
        <w:rPr>
          <w:rFonts w:cs="Calibri Light"/>
          <w:sz w:val="24"/>
          <w:szCs w:val="24"/>
        </w:rPr>
        <w:t>Kuriera Wileńskiego</w:t>
      </w:r>
      <w:r w:rsidR="007430A8" w:rsidRPr="00586F1D">
        <w:rPr>
          <w:rFonts w:cs="Calibri Light"/>
          <w:sz w:val="24"/>
          <w:szCs w:val="24"/>
        </w:rPr>
        <w:t>”</w:t>
      </w:r>
      <w:r w:rsidRPr="00586F1D">
        <w:rPr>
          <w:rFonts w:cs="Calibri Light"/>
          <w:sz w:val="24"/>
          <w:szCs w:val="24"/>
        </w:rPr>
        <w:t xml:space="preserve">, utrwalających moment jej przyjazdu do Paryża oraz pierwsze tygodnie pobytu i intensywnej działalności artystycznej. </w:t>
      </w:r>
    </w:p>
    <w:p w:rsidR="00586F1D" w:rsidRPr="00586F1D" w:rsidRDefault="000D0CD9" w:rsidP="00586F1D">
      <w:pPr>
        <w:jc w:val="both"/>
        <w:rPr>
          <w:rFonts w:cs="Calibri Light"/>
          <w:sz w:val="24"/>
          <w:szCs w:val="24"/>
        </w:rPr>
      </w:pPr>
      <w:r w:rsidRPr="00586F1D">
        <w:rPr>
          <w:rFonts w:cs="Calibri Light"/>
          <w:sz w:val="24"/>
          <w:szCs w:val="24"/>
        </w:rPr>
        <w:t xml:space="preserve">Po powrocie do kraju w 1938 roku przygotowywała się do tournée po Ameryce, Australii i Japonii, ale w Olsztynie niedaleko Częstochowy zastała ją II wojna światowa. W okresie okupacji prowadziła działalność organizacyjną, a po wojnie czyniła starania o otwarcie szkoły muzycznej w Częstochowie, w której prowadziła później klasę śpiewu oraz wykładała historię muzyki. Po przeniesieniu się w 1949 roku do Krakowa rozpoczęła pracę w tamtejszych szkołach muzycznych oraz w Państwowej Wyższej Szkole Teatralnej, gdzie jej uczniami i studentami byli: Krzysztof Penderecki, Piotr Poźniak, Marek Stachowski, Ewa Demarczyk, Kalina Jędrusik, Anna Polony, Anna Seniuk czy Jerzy Bińczycki. </w:t>
      </w:r>
    </w:p>
    <w:p w:rsidR="000D0CD9" w:rsidRPr="00586F1D" w:rsidRDefault="000D0CD9" w:rsidP="002F0C36">
      <w:pPr>
        <w:jc w:val="right"/>
        <w:rPr>
          <w:rFonts w:cs="Calibri Light"/>
          <w:sz w:val="24"/>
          <w:szCs w:val="24"/>
          <w:lang w:eastAsia="pl-PL"/>
        </w:rPr>
      </w:pPr>
      <w:r w:rsidRPr="00586F1D">
        <w:rPr>
          <w:rFonts w:cs="Calibri Light"/>
          <w:sz w:val="24"/>
          <w:szCs w:val="24"/>
          <w:lang w:eastAsia="pl-PL"/>
        </w:rPr>
        <w:t>(29 XI 2022)</w:t>
      </w:r>
    </w:p>
    <w:p w:rsidR="000D0CD9" w:rsidRDefault="000D0CD9" w:rsidP="000D0CD9">
      <w:pPr>
        <w:jc w:val="right"/>
        <w:rPr>
          <w:rFonts w:cs="Calibri Light"/>
          <w:sz w:val="24"/>
          <w:szCs w:val="24"/>
        </w:rPr>
      </w:pPr>
    </w:p>
    <w:p w:rsidR="00C62275" w:rsidRPr="00586F1D" w:rsidRDefault="00C62275" w:rsidP="000D0CD9">
      <w:pPr>
        <w:jc w:val="right"/>
        <w:rPr>
          <w:rFonts w:cs="Calibri Light"/>
          <w:sz w:val="24"/>
          <w:szCs w:val="24"/>
        </w:rPr>
      </w:pPr>
    </w:p>
    <w:p w:rsidR="000D0CD9" w:rsidRPr="00586F1D" w:rsidRDefault="000D0CD9" w:rsidP="00C62275">
      <w:pPr>
        <w:pStyle w:val="Nagwek2"/>
        <w:rPr>
          <w:lang w:eastAsia="pl-PL"/>
        </w:rPr>
      </w:pPr>
      <w:bookmarkStart w:id="18" w:name="_Toc178250025"/>
      <w:r w:rsidRPr="00586F1D">
        <w:rPr>
          <w:lang w:eastAsia="pl-PL"/>
        </w:rPr>
        <w:t>Małgorzata Sieradz</w:t>
      </w:r>
      <w:r w:rsidR="0061638B" w:rsidRPr="00586F1D">
        <w:rPr>
          <w:lang w:eastAsia="pl-PL"/>
        </w:rPr>
        <w:t xml:space="preserve"> (IS PAN)</w:t>
      </w:r>
      <w:r w:rsidRPr="00586F1D">
        <w:rPr>
          <w:lang w:eastAsia="pl-PL"/>
        </w:rPr>
        <w:t>, Pęd do wiedzy. Zagraniczny uniwersytet jako wybór czy konieczność</w:t>
      </w:r>
      <w:bookmarkEnd w:id="18"/>
    </w:p>
    <w:p w:rsidR="000D0CD9" w:rsidRPr="00586F1D" w:rsidRDefault="000D0CD9" w:rsidP="004406BA">
      <w:pPr>
        <w:jc w:val="both"/>
        <w:rPr>
          <w:rFonts w:cs="Calibri Light"/>
          <w:sz w:val="24"/>
          <w:szCs w:val="24"/>
        </w:rPr>
      </w:pPr>
      <w:r w:rsidRPr="00586F1D">
        <w:rPr>
          <w:rFonts w:cs="Calibri Light"/>
          <w:sz w:val="24"/>
          <w:szCs w:val="24"/>
        </w:rPr>
        <w:t xml:space="preserve">Działające w końcu XIX w. na dawnych ziemiach polskich uniwersytety </w:t>
      </w:r>
      <w:r w:rsidR="004406BA" w:rsidRPr="00586F1D">
        <w:rPr>
          <w:rFonts w:cs="Calibri Light"/>
          <w:sz w:val="24"/>
          <w:szCs w:val="24"/>
        </w:rPr>
        <w:t>– we Lwowie, Wilnie, Krakowie i </w:t>
      </w:r>
      <w:r w:rsidRPr="00586F1D">
        <w:rPr>
          <w:rFonts w:cs="Calibri Light"/>
          <w:sz w:val="24"/>
          <w:szCs w:val="24"/>
        </w:rPr>
        <w:t xml:space="preserve">Warszawie – za sprawą postępujących małymi krokami luzowań zaborców dotyczących organizacji uczelni i szkolnictwa wyższego – stawały się ośrodkami atrakcyjnymi zarówno dla młodzieży polskiej, jak i reprezentantów innych nacji. </w:t>
      </w:r>
    </w:p>
    <w:p w:rsidR="000D0CD9" w:rsidRPr="00586F1D" w:rsidRDefault="000D0CD9" w:rsidP="004406BA">
      <w:pPr>
        <w:jc w:val="both"/>
        <w:rPr>
          <w:rFonts w:cs="Calibri Light"/>
          <w:sz w:val="24"/>
          <w:szCs w:val="24"/>
        </w:rPr>
      </w:pPr>
      <w:r w:rsidRPr="00586F1D">
        <w:rPr>
          <w:rFonts w:cs="Calibri Light"/>
          <w:sz w:val="24"/>
          <w:szCs w:val="24"/>
        </w:rPr>
        <w:t>Autonomia, jaką w połowie stulecia uzyskała Galicja ze strony Austrii, pozwoliła choćby na przywrócenie języka polskiego jako wykładowego. Rozwijały się dynamicznie wydzi</w:t>
      </w:r>
      <w:r w:rsidR="004406BA" w:rsidRPr="00586F1D">
        <w:rPr>
          <w:rFonts w:cs="Calibri Light"/>
          <w:sz w:val="24"/>
          <w:szCs w:val="24"/>
        </w:rPr>
        <w:t>ały matematyczno-przyrodnicze i </w:t>
      </w:r>
      <w:r w:rsidRPr="00586F1D">
        <w:rPr>
          <w:rFonts w:cs="Calibri Light"/>
          <w:sz w:val="24"/>
          <w:szCs w:val="24"/>
        </w:rPr>
        <w:t xml:space="preserve">humanistyczne, cóż jednak, gdy brakowało na nich katedr niszowych, wcześniej w owych Alma </w:t>
      </w:r>
      <w:proofErr w:type="spellStart"/>
      <w:r w:rsidRPr="00586F1D">
        <w:rPr>
          <w:rFonts w:cs="Calibri Light"/>
          <w:sz w:val="24"/>
          <w:szCs w:val="24"/>
        </w:rPr>
        <w:t>Mater</w:t>
      </w:r>
      <w:proofErr w:type="spellEnd"/>
      <w:r w:rsidRPr="00586F1D">
        <w:rPr>
          <w:rFonts w:cs="Calibri Light"/>
          <w:sz w:val="24"/>
          <w:szCs w:val="24"/>
        </w:rPr>
        <w:t xml:space="preserve"> nieobecnych. Taka sytuacja i pragnienie zgłębiania wiedzy w zakresie historii i teorii muzyki zmusiła kilku późniejszych pionierów, ojców-założycieli muzykologii polskiej, do migracji na uniwersytety zagraniczne.</w:t>
      </w:r>
    </w:p>
    <w:p w:rsidR="000D0CD9" w:rsidRPr="00586F1D" w:rsidRDefault="000D0CD9" w:rsidP="004406BA">
      <w:pPr>
        <w:jc w:val="both"/>
        <w:rPr>
          <w:rFonts w:cs="Calibri Light"/>
          <w:sz w:val="24"/>
          <w:szCs w:val="24"/>
        </w:rPr>
      </w:pPr>
      <w:r w:rsidRPr="00586F1D">
        <w:rPr>
          <w:rFonts w:cs="Calibri Light"/>
          <w:sz w:val="24"/>
          <w:szCs w:val="24"/>
        </w:rPr>
        <w:lastRenderedPageBreak/>
        <w:t xml:space="preserve">Jakich ośrodków docelowo te migracje dotyczyły i czym takie wybory skutkowały dla kształtowania się muzykologii w Polsce, czy migracje </w:t>
      </w:r>
      <w:r w:rsidR="007430A8" w:rsidRPr="00586F1D">
        <w:rPr>
          <w:rFonts w:cs="Calibri Light"/>
          <w:sz w:val="24"/>
          <w:szCs w:val="24"/>
        </w:rPr>
        <w:t>„</w:t>
      </w:r>
      <w:r w:rsidRPr="00586F1D">
        <w:rPr>
          <w:rFonts w:cs="Calibri Light"/>
          <w:sz w:val="24"/>
          <w:szCs w:val="24"/>
        </w:rPr>
        <w:t>za wiedzą</w:t>
      </w:r>
      <w:r w:rsidR="007430A8" w:rsidRPr="00586F1D">
        <w:rPr>
          <w:rFonts w:cs="Calibri Light"/>
          <w:sz w:val="24"/>
          <w:szCs w:val="24"/>
        </w:rPr>
        <w:t>”</w:t>
      </w:r>
      <w:r w:rsidRPr="00586F1D">
        <w:rPr>
          <w:rFonts w:cs="Calibri Light"/>
          <w:sz w:val="24"/>
          <w:szCs w:val="24"/>
        </w:rPr>
        <w:t xml:space="preserve"> ograniczyły się jedynie do pokolenia prekursorów tej dziedziny w Polsce, jakie były inne przyczyny, dla których studia muzykologiczne poza Polską podejmowano także później – próba odpowiedzi na te pytania wraz z naszkicowaniem kilku biografii, będzie tematem wykładu </w:t>
      </w:r>
      <w:r w:rsidR="007430A8" w:rsidRPr="00586F1D">
        <w:rPr>
          <w:rFonts w:cs="Calibri Light"/>
          <w:sz w:val="24"/>
          <w:szCs w:val="24"/>
        </w:rPr>
        <w:t>„</w:t>
      </w:r>
      <w:r w:rsidRPr="00586F1D">
        <w:rPr>
          <w:rFonts w:cs="Calibri Light"/>
          <w:sz w:val="24"/>
          <w:szCs w:val="24"/>
        </w:rPr>
        <w:t>Pęd do wiedzy. Zagraniczny uniwersytet jako wybór czy konieczność</w:t>
      </w:r>
      <w:r w:rsidR="007430A8" w:rsidRPr="00586F1D">
        <w:rPr>
          <w:rFonts w:cs="Calibri Light"/>
          <w:sz w:val="24"/>
          <w:szCs w:val="24"/>
        </w:rPr>
        <w:t>”</w:t>
      </w:r>
      <w:r w:rsidRPr="00586F1D">
        <w:rPr>
          <w:rFonts w:cs="Calibri Light"/>
          <w:sz w:val="24"/>
          <w:szCs w:val="24"/>
        </w:rPr>
        <w:t>.</w:t>
      </w:r>
    </w:p>
    <w:p w:rsidR="000D0CD9" w:rsidRPr="00586F1D" w:rsidRDefault="000D0CD9" w:rsidP="000D0CD9">
      <w:pPr>
        <w:jc w:val="right"/>
        <w:rPr>
          <w:rFonts w:cs="Calibri Light"/>
          <w:sz w:val="24"/>
          <w:szCs w:val="24"/>
        </w:rPr>
      </w:pPr>
      <w:r w:rsidRPr="00586F1D">
        <w:rPr>
          <w:rFonts w:cs="Calibri Light"/>
          <w:sz w:val="24"/>
          <w:szCs w:val="24"/>
        </w:rPr>
        <w:t>(31 I 2023)</w:t>
      </w:r>
    </w:p>
    <w:p w:rsidR="000D0CD9" w:rsidRPr="00586F1D" w:rsidRDefault="000D0CD9" w:rsidP="000D0CD9">
      <w:pPr>
        <w:jc w:val="right"/>
        <w:rPr>
          <w:rFonts w:cs="Calibri Light"/>
          <w:sz w:val="24"/>
          <w:szCs w:val="24"/>
        </w:rPr>
      </w:pPr>
    </w:p>
    <w:p w:rsidR="000D0CD9" w:rsidRPr="00586F1D" w:rsidRDefault="000D0CD9" w:rsidP="00C62275">
      <w:pPr>
        <w:pStyle w:val="Nagwek2"/>
        <w:rPr>
          <w:lang w:eastAsia="pl-PL"/>
        </w:rPr>
      </w:pPr>
      <w:bookmarkStart w:id="19" w:name="_Toc178250026"/>
      <w:r w:rsidRPr="00586F1D">
        <w:rPr>
          <w:lang w:eastAsia="pl-PL"/>
        </w:rPr>
        <w:t xml:space="preserve">Piotr </w:t>
      </w:r>
      <w:proofErr w:type="spellStart"/>
      <w:r w:rsidRPr="00586F1D">
        <w:rPr>
          <w:lang w:eastAsia="pl-PL"/>
        </w:rPr>
        <w:t>Jamski</w:t>
      </w:r>
      <w:proofErr w:type="spellEnd"/>
      <w:r w:rsidR="0061638B" w:rsidRPr="00586F1D">
        <w:rPr>
          <w:lang w:eastAsia="pl-PL"/>
        </w:rPr>
        <w:t xml:space="preserve"> (IS PAN)</w:t>
      </w:r>
      <w:r w:rsidRPr="00586F1D">
        <w:rPr>
          <w:lang w:eastAsia="pl-PL"/>
        </w:rPr>
        <w:t>, Wędrowni Ludwisarze i mobilne dzwony</w:t>
      </w:r>
      <w:bookmarkEnd w:id="19"/>
    </w:p>
    <w:p w:rsidR="00EC7072" w:rsidRPr="00586F1D" w:rsidRDefault="004E1C8A" w:rsidP="004E1C8A">
      <w:pPr>
        <w:spacing w:after="240" w:line="240" w:lineRule="auto"/>
        <w:jc w:val="both"/>
        <w:rPr>
          <w:rFonts w:eastAsia="Times New Roman" w:cs="Calibri Light"/>
          <w:iCs/>
          <w:sz w:val="24"/>
          <w:szCs w:val="24"/>
          <w:lang w:eastAsia="pl-PL"/>
        </w:rPr>
      </w:pPr>
      <w:r w:rsidRPr="00586F1D">
        <w:rPr>
          <w:rFonts w:cs="Calibri Light"/>
          <w:sz w:val="24"/>
          <w:szCs w:val="24"/>
        </w:rPr>
        <w:t xml:space="preserve">Ludwisarstwo przez wieki było zawodem związanym z przemieszczaniem się, gdyż dostarczenie ciężkich wyrobów do miejsca zamówienia często przysparzało więcej trudności niż przyjazd mistrza i organizacja miejsca odlania instrumentu. Również dość szybkie nasycenie terytorium wyrobami, które powodowało, że </w:t>
      </w:r>
      <w:proofErr w:type="spellStart"/>
      <w:r w:rsidRPr="00586F1D">
        <w:rPr>
          <w:rFonts w:cs="Calibri Light"/>
          <w:sz w:val="24"/>
          <w:szCs w:val="24"/>
        </w:rPr>
        <w:t>dzwonoleje</w:t>
      </w:r>
      <w:proofErr w:type="spellEnd"/>
      <w:r w:rsidRPr="00586F1D">
        <w:rPr>
          <w:rFonts w:cs="Calibri Light"/>
          <w:sz w:val="24"/>
          <w:szCs w:val="24"/>
        </w:rPr>
        <w:t xml:space="preserve"> zmuszeni byli do przenoszenia swojej działalności na coraz to nowe terytoria. Między innymi, w czasach nowożytnym, skutkowało to zjawiskiem jak lotaryńscy ludwisarze wędrowni zaznaczający swą obecność niemal w całej Europie. Rozwój transportu i szlaków komunikacyjnych w XIX i XX wieku, który spowodował możliwość łatwiejszego dotarcia do klienta, nie wyeliminował w środowisku twórców dzwonów migracji. Uwarunkowania rodzinne, prawne, finansowe, związane z opłatami celnymi oraz chęć rozszerzania własnej działalności nadal wpływały na przenoszenie produkcji i miejsc zamieszkania wielu twórców. W trakcie przepływów migracyjnych ludzi dochodziło również do przenoszenia dokonań warsztatowych i języka artystycznego. Osobnym omówionym pokrótce zagadnieniem jest mobilność samych dzwonów traktowanych w Europie od ponad tysiąca lat jako: łup wojenny, rezerwuar surowca, wróg idei, jak również pożądany lub odrzucany integrujący społeczeństwo element </w:t>
      </w:r>
      <w:proofErr w:type="spellStart"/>
      <w:r w:rsidRPr="00586F1D">
        <w:rPr>
          <w:rFonts w:cs="Calibri Light"/>
          <w:sz w:val="24"/>
          <w:szCs w:val="24"/>
        </w:rPr>
        <w:t>fonosfery</w:t>
      </w:r>
      <w:proofErr w:type="spellEnd"/>
      <w:r w:rsidRPr="00586F1D">
        <w:rPr>
          <w:rFonts w:cs="Calibri Light"/>
          <w:sz w:val="24"/>
          <w:szCs w:val="24"/>
        </w:rPr>
        <w:t>.</w:t>
      </w:r>
    </w:p>
    <w:p w:rsidR="000D0CD9" w:rsidRPr="00586F1D" w:rsidRDefault="00EC7072" w:rsidP="00586F1D">
      <w:pPr>
        <w:jc w:val="right"/>
        <w:rPr>
          <w:rFonts w:cs="Calibri Light"/>
          <w:sz w:val="24"/>
          <w:szCs w:val="24"/>
          <w:lang w:eastAsia="pl-PL"/>
        </w:rPr>
      </w:pPr>
      <w:r w:rsidRPr="00586F1D">
        <w:rPr>
          <w:rFonts w:cs="Calibri Light"/>
          <w:sz w:val="24"/>
          <w:szCs w:val="24"/>
          <w:lang w:eastAsia="pl-PL"/>
        </w:rPr>
        <w:t>(28</w:t>
      </w:r>
      <w:r w:rsidR="000D0CD9" w:rsidRPr="00586F1D">
        <w:rPr>
          <w:rFonts w:cs="Calibri Light"/>
          <w:sz w:val="24"/>
          <w:szCs w:val="24"/>
          <w:lang w:eastAsia="pl-PL"/>
        </w:rPr>
        <w:t xml:space="preserve"> II 2023)</w:t>
      </w:r>
    </w:p>
    <w:p w:rsidR="000D0CD9" w:rsidRDefault="000D0CD9" w:rsidP="000D0CD9">
      <w:pPr>
        <w:spacing w:after="240" w:line="240" w:lineRule="auto"/>
        <w:rPr>
          <w:rFonts w:eastAsia="Times New Roman" w:cs="Calibri Light"/>
          <w:iCs/>
          <w:sz w:val="24"/>
          <w:szCs w:val="24"/>
          <w:lang w:eastAsia="pl-PL"/>
        </w:rPr>
      </w:pPr>
    </w:p>
    <w:p w:rsidR="00C62275" w:rsidRPr="00586F1D" w:rsidRDefault="00C62275" w:rsidP="000D0CD9">
      <w:pPr>
        <w:spacing w:after="240" w:line="240" w:lineRule="auto"/>
        <w:rPr>
          <w:rFonts w:eastAsia="Times New Roman" w:cs="Calibri Light"/>
          <w:iCs/>
          <w:sz w:val="24"/>
          <w:szCs w:val="24"/>
          <w:lang w:eastAsia="pl-PL"/>
        </w:rPr>
      </w:pPr>
    </w:p>
    <w:p w:rsidR="000D0CD9" w:rsidRPr="00586F1D" w:rsidRDefault="00EC7072" w:rsidP="00C62275">
      <w:pPr>
        <w:pStyle w:val="Nagwek2"/>
        <w:rPr>
          <w:lang w:eastAsia="pl-PL"/>
        </w:rPr>
      </w:pPr>
      <w:bookmarkStart w:id="20" w:name="_Toc178250027"/>
      <w:r w:rsidRPr="00586F1D">
        <w:rPr>
          <w:lang w:eastAsia="pl-PL"/>
        </w:rPr>
        <w:t>Łukasz Smoluch</w:t>
      </w:r>
      <w:r w:rsidR="0061638B" w:rsidRPr="00586F1D">
        <w:rPr>
          <w:lang w:eastAsia="pl-PL"/>
        </w:rPr>
        <w:t xml:space="preserve"> (UAM)</w:t>
      </w:r>
      <w:r w:rsidRPr="00586F1D">
        <w:rPr>
          <w:lang w:eastAsia="pl-PL"/>
        </w:rPr>
        <w:t xml:space="preserve">, Muzyczne </w:t>
      </w:r>
      <w:proofErr w:type="spellStart"/>
      <w:r w:rsidRPr="00586F1D">
        <w:rPr>
          <w:lang w:eastAsia="pl-PL"/>
        </w:rPr>
        <w:t>performanse</w:t>
      </w:r>
      <w:proofErr w:type="spellEnd"/>
      <w:r w:rsidRPr="00586F1D">
        <w:rPr>
          <w:lang w:eastAsia="pl-PL"/>
        </w:rPr>
        <w:t xml:space="preserve"> jako narzędzie negocjowania tożsamości w polskich społecznościach poza granicami kraju</w:t>
      </w:r>
      <w:bookmarkEnd w:id="20"/>
    </w:p>
    <w:p w:rsidR="00084476" w:rsidRPr="00586F1D" w:rsidRDefault="00084476" w:rsidP="00084476">
      <w:pPr>
        <w:jc w:val="both"/>
        <w:rPr>
          <w:rFonts w:cs="Calibri Light"/>
          <w:sz w:val="24"/>
          <w:szCs w:val="24"/>
        </w:rPr>
      </w:pPr>
      <w:r w:rsidRPr="00586F1D">
        <w:rPr>
          <w:rFonts w:cs="Calibri Light"/>
          <w:sz w:val="24"/>
          <w:szCs w:val="24"/>
        </w:rPr>
        <w:t xml:space="preserve">Jeśli przyjąć, że muzyka to przede wszystkim działanie społeczne uwikłane w sieć kulturowych znaczeń, nie dziwi ogromna rola muzykowania w kształtowaniu tożsamości jednostek i grup. W życiu diaspor, mniejszości etnicznych i religijnych, społeczności </w:t>
      </w:r>
      <w:proofErr w:type="spellStart"/>
      <w:r w:rsidRPr="00586F1D">
        <w:rPr>
          <w:rFonts w:cs="Calibri Light"/>
          <w:sz w:val="24"/>
          <w:szCs w:val="24"/>
        </w:rPr>
        <w:t>migranckich</w:t>
      </w:r>
      <w:proofErr w:type="spellEnd"/>
      <w:r w:rsidRPr="00586F1D">
        <w:rPr>
          <w:rFonts w:cs="Calibri Light"/>
          <w:sz w:val="24"/>
          <w:szCs w:val="24"/>
        </w:rPr>
        <w:t xml:space="preserve"> – czyli w sytuacji bezustannego przetwarzania zbiorowych wyobrażeń o sobie i własnej ojczyźnie – rola ta wydaje się jeszcze wyraźniejsza.</w:t>
      </w:r>
    </w:p>
    <w:p w:rsidR="00EC7072" w:rsidRPr="00586F1D" w:rsidRDefault="00084476" w:rsidP="00084476">
      <w:pPr>
        <w:jc w:val="both"/>
        <w:rPr>
          <w:rFonts w:cs="Calibri Light"/>
          <w:sz w:val="24"/>
          <w:szCs w:val="24"/>
        </w:rPr>
      </w:pPr>
      <w:r w:rsidRPr="00586F1D">
        <w:rPr>
          <w:rFonts w:cs="Calibri Light"/>
          <w:sz w:val="24"/>
          <w:szCs w:val="24"/>
        </w:rPr>
        <w:t xml:space="preserve">Wykład, oparty na własnych badaniach terenowych, poświęcony będzie tradycjom muzycznym społeczności polskich zamieszkujących Syberię, Brazylię i Australię, które tworzone są przez </w:t>
      </w:r>
      <w:r w:rsidRPr="00586F1D">
        <w:rPr>
          <w:rFonts w:cs="Calibri Light"/>
          <w:sz w:val="24"/>
          <w:szCs w:val="24"/>
        </w:rPr>
        <w:lastRenderedPageBreak/>
        <w:t>migrantów i potomków migrantów z XIX, XX i XXI wieku. To, jak definiuje się każda z tych grup i co jest dla niej ważne, to efekt bezustannej negocjacji pomiędzy jej członkami. Jedną z przestrzeni, w której widoczny jest ten proces, jest życie muzyczne. Repertuar, muzyczne wykonania i sytuacje, w których do nich dochodzi, towarzysząca im scenografia, zachowanie artystów i publiczności – wszystko to jest przedmiotem interpretacji, nadawania i odczytywania znaczeń oraz odbywa się w ścisłym związku z doświadczeniami wspólnymi dla całej społeczności, a także losami każdego z jej przedstawicieli z osobna.</w:t>
      </w:r>
    </w:p>
    <w:p w:rsidR="00EC7072" w:rsidRPr="00586F1D" w:rsidRDefault="00EC7072" w:rsidP="000D0CD9">
      <w:pPr>
        <w:jc w:val="right"/>
        <w:rPr>
          <w:rFonts w:cs="Calibri Light"/>
          <w:sz w:val="24"/>
          <w:szCs w:val="24"/>
        </w:rPr>
      </w:pPr>
      <w:r w:rsidRPr="00586F1D">
        <w:rPr>
          <w:rFonts w:cs="Calibri Light"/>
          <w:sz w:val="24"/>
          <w:szCs w:val="24"/>
        </w:rPr>
        <w:t>(28 III 2023)</w:t>
      </w:r>
    </w:p>
    <w:p w:rsidR="004E1C8A" w:rsidRPr="00586F1D" w:rsidRDefault="004E1C8A" w:rsidP="00C62275">
      <w:pPr>
        <w:pStyle w:val="Nagwek2"/>
        <w:rPr>
          <w:lang w:eastAsia="pl-PL"/>
        </w:rPr>
      </w:pPr>
      <w:bookmarkStart w:id="21" w:name="_Toc178250028"/>
      <w:r w:rsidRPr="00586F1D">
        <w:t>Beata Bolesławska-Lewandows</w:t>
      </w:r>
      <w:r w:rsidR="00736FDC">
        <w:t>ka (IS PAN), Andrzej Panufnik w </w:t>
      </w:r>
      <w:r w:rsidRPr="00586F1D">
        <w:t>kręgu kultury brytyjskiej</w:t>
      </w:r>
      <w:bookmarkEnd w:id="21"/>
    </w:p>
    <w:p w:rsidR="00D05A0C" w:rsidRPr="00586F1D" w:rsidRDefault="00D05A0C" w:rsidP="00D05A0C">
      <w:pPr>
        <w:jc w:val="both"/>
        <w:rPr>
          <w:rFonts w:cs="Calibri Light"/>
          <w:sz w:val="24"/>
          <w:szCs w:val="24"/>
          <w:lang w:eastAsia="pl-PL"/>
        </w:rPr>
      </w:pPr>
      <w:r w:rsidRPr="00586F1D">
        <w:rPr>
          <w:rFonts w:cs="Calibri Light"/>
          <w:sz w:val="24"/>
          <w:szCs w:val="24"/>
          <w:lang w:eastAsia="pl-PL"/>
        </w:rPr>
        <w:t>Andrzej Panufnik (1914-1991), od 1954 roku przebywający na emigracji w Wielkiej Brytanii, długo nie był obecny w kulturze muzycznej Polski. Do 1977 roku obowiązywał na jego nazwisko zapis cenzury, później trzeba było długich lat, by jego muzykę przybliżyć artystom i melomanom w Polsce. Dziś nie trzeba już nikogo przekonywać o przynależności Panufnika do grona najwybitniejszych twórców muzyki polskiej ubiegłego stulecia. O jego przywiązaniu do rodzimej tradycji, a także o utworach wyraźnie odwołujących się do polskości niejednokrotnie już mówiono i pisano (czyniła to także w swoich tekstach poświęconych Panufnikowi Beata Bolesławska-Lewandowska).</w:t>
      </w:r>
    </w:p>
    <w:p w:rsidR="00C37E18" w:rsidRPr="00586F1D" w:rsidRDefault="00D05A0C" w:rsidP="00D05A0C">
      <w:pPr>
        <w:jc w:val="both"/>
        <w:rPr>
          <w:rFonts w:cs="Calibri Light"/>
          <w:sz w:val="24"/>
          <w:szCs w:val="24"/>
          <w:lang w:eastAsia="pl-PL"/>
        </w:rPr>
      </w:pPr>
      <w:r w:rsidRPr="00586F1D">
        <w:rPr>
          <w:rFonts w:cs="Calibri Light"/>
          <w:sz w:val="24"/>
          <w:szCs w:val="24"/>
          <w:lang w:eastAsia="pl-PL"/>
        </w:rPr>
        <w:t xml:space="preserve">Tym razem autorka proponuje odmienną perspektywę. Podczas wykładu przyjrzy się bliżej związkom Andrzeja Panufnika z kulturą brytyjską – zarówno w zakresie inspiracji twórczych, jak i jego wkładu w dziedzictwo kulturowe adoptowanej ojczyzny. W 1963 roku kompozytor założył rodzinę i do śmierci mieszkał w podlondyńskim </w:t>
      </w:r>
      <w:proofErr w:type="spellStart"/>
      <w:r w:rsidRPr="00586F1D">
        <w:rPr>
          <w:rFonts w:cs="Calibri Light"/>
          <w:sz w:val="24"/>
          <w:szCs w:val="24"/>
          <w:lang w:eastAsia="pl-PL"/>
        </w:rPr>
        <w:t>Twickenham</w:t>
      </w:r>
      <w:proofErr w:type="spellEnd"/>
      <w:r w:rsidRPr="00586F1D">
        <w:rPr>
          <w:rFonts w:cs="Calibri Light"/>
          <w:sz w:val="24"/>
          <w:szCs w:val="24"/>
          <w:lang w:eastAsia="pl-PL"/>
        </w:rPr>
        <w:t xml:space="preserve">. W 1991 został przez królową Elżbietę II uhonorowany tytułem szlacheckim Sir w uznaniu zasług dla kultury Wielkiej Brytanii. Czy i jak zatem wieloletnie życie w Anglii, rodzinna codzienność oraz kontakty z brytyjskim światem muzycznym wpłynęły na jego muzykę? Czy i na ile w odniesieniu do jego twórczości uzasadnione jest posługiwanie się terminami z zakresu badań nad transferem kultury bądź </w:t>
      </w:r>
      <w:proofErr w:type="spellStart"/>
      <w:r w:rsidRPr="00586F1D">
        <w:rPr>
          <w:rFonts w:cs="Calibri Light"/>
          <w:sz w:val="24"/>
          <w:szCs w:val="24"/>
          <w:lang w:eastAsia="pl-PL"/>
        </w:rPr>
        <w:t>transkulturowością</w:t>
      </w:r>
      <w:proofErr w:type="spellEnd"/>
      <w:r w:rsidRPr="00586F1D">
        <w:rPr>
          <w:rFonts w:cs="Calibri Light"/>
          <w:sz w:val="24"/>
          <w:szCs w:val="24"/>
          <w:lang w:eastAsia="pl-PL"/>
        </w:rPr>
        <w:t>? Na ile dorobek kompozytora wzbogaca kulturę każdego z krajów? Wykład będzie próbą odpowiedzi na tak postawione pytania.</w:t>
      </w:r>
    </w:p>
    <w:p w:rsidR="004E1C8A" w:rsidRPr="00586F1D" w:rsidRDefault="004E1C8A" w:rsidP="004E1C8A">
      <w:pPr>
        <w:jc w:val="right"/>
        <w:rPr>
          <w:rFonts w:cs="Calibri Light"/>
          <w:sz w:val="24"/>
          <w:szCs w:val="24"/>
          <w:lang w:eastAsia="pl-PL"/>
        </w:rPr>
      </w:pPr>
      <w:r w:rsidRPr="00586F1D">
        <w:rPr>
          <w:rFonts w:cs="Calibri Light"/>
          <w:sz w:val="24"/>
          <w:szCs w:val="24"/>
          <w:lang w:eastAsia="pl-PL"/>
        </w:rPr>
        <w:t>(25 IV 2023)</w:t>
      </w:r>
    </w:p>
    <w:p w:rsidR="00EC7072" w:rsidRDefault="00EC7072" w:rsidP="000D0CD9">
      <w:pPr>
        <w:jc w:val="right"/>
        <w:rPr>
          <w:rFonts w:cs="Calibri Light"/>
          <w:sz w:val="24"/>
          <w:szCs w:val="24"/>
        </w:rPr>
      </w:pPr>
    </w:p>
    <w:p w:rsidR="00C62275" w:rsidRPr="00586F1D" w:rsidRDefault="00C62275" w:rsidP="000D0CD9">
      <w:pPr>
        <w:jc w:val="right"/>
        <w:rPr>
          <w:rFonts w:cs="Calibri Light"/>
          <w:sz w:val="24"/>
          <w:szCs w:val="24"/>
        </w:rPr>
      </w:pPr>
    </w:p>
    <w:p w:rsidR="00EC7072" w:rsidRPr="00586F1D" w:rsidRDefault="00EC7072" w:rsidP="00C62275">
      <w:pPr>
        <w:pStyle w:val="Nagwek2"/>
      </w:pPr>
      <w:bookmarkStart w:id="22" w:name="_Toc178250029"/>
      <w:r w:rsidRPr="00586F1D">
        <w:t xml:space="preserve">Dorota </w:t>
      </w:r>
      <w:proofErr w:type="spellStart"/>
      <w:r w:rsidRPr="00586F1D">
        <w:t>Piramidowicz</w:t>
      </w:r>
      <w:proofErr w:type="spellEnd"/>
      <w:r w:rsidR="0061638B" w:rsidRPr="00586F1D">
        <w:t xml:space="preserve"> (IS PAN)</w:t>
      </w:r>
      <w:r w:rsidRPr="00586F1D">
        <w:t>, Zabytek - artefakt - dzieło sztuki</w:t>
      </w:r>
      <w:bookmarkEnd w:id="22"/>
    </w:p>
    <w:p w:rsidR="00586F1D" w:rsidRPr="00586F1D" w:rsidRDefault="008D6A42" w:rsidP="00586F1D">
      <w:pPr>
        <w:jc w:val="both"/>
        <w:rPr>
          <w:rFonts w:cs="Calibri Light"/>
          <w:sz w:val="24"/>
          <w:szCs w:val="24"/>
        </w:rPr>
      </w:pPr>
      <w:r w:rsidRPr="00586F1D">
        <w:rPr>
          <w:rFonts w:cs="Calibri Light"/>
          <w:sz w:val="24"/>
          <w:szCs w:val="24"/>
        </w:rPr>
        <w:t>Historyk sztuki zajmujący się inwentaryzacją zabytków spotyka na swojej drodze rozmaite obiekty, czasami związane pierwotnym miejscem przeznaczenia, innym razem zupełnie od niego oderwane, pozbawione historycznego kontekstu. Zdarza się, że przez lata swego istnienia stają się one nośnikami znaczeń, które niekoniecznie idą w parze z ich wartościami estetycznymi – dzieła wybitne stają się bezimienne i zapomniane a przedmioty o niewielkiej wartości artystycznej urastają do obiektów kultu.</w:t>
      </w:r>
    </w:p>
    <w:p w:rsidR="008D6A42" w:rsidRPr="00586F1D" w:rsidRDefault="008D6A42" w:rsidP="00586F1D">
      <w:pPr>
        <w:jc w:val="both"/>
        <w:rPr>
          <w:rFonts w:cs="Calibri Light"/>
          <w:sz w:val="24"/>
          <w:szCs w:val="24"/>
        </w:rPr>
      </w:pPr>
      <w:r w:rsidRPr="00586F1D">
        <w:rPr>
          <w:rFonts w:cs="Calibri Light"/>
          <w:sz w:val="24"/>
          <w:szCs w:val="24"/>
        </w:rPr>
        <w:t xml:space="preserve">Wykład jest refleksją powstałą na bazie doświadczeń z obiektami zabytkowymi sztuki sakralnej, które autorka napotkała podczas opracowywania kolejnych tomów serii „Katalog Zabytków </w:t>
      </w:r>
      <w:r w:rsidRPr="00586F1D">
        <w:rPr>
          <w:rFonts w:cs="Calibri Light"/>
          <w:sz w:val="24"/>
          <w:szCs w:val="24"/>
        </w:rPr>
        <w:lastRenderedPageBreak/>
        <w:t>Sztuki w Polsce” oraz „Materiały do dziejów sztuki sakralnej na dawnych ziemiach wschodnich Rzeczypospolitej".</w:t>
      </w:r>
    </w:p>
    <w:p w:rsidR="00EC7072" w:rsidRPr="00586F1D" w:rsidRDefault="00EC7072" w:rsidP="00586F1D">
      <w:pPr>
        <w:jc w:val="right"/>
        <w:rPr>
          <w:rFonts w:cs="Calibri Light"/>
          <w:sz w:val="24"/>
          <w:szCs w:val="24"/>
        </w:rPr>
      </w:pPr>
      <w:r w:rsidRPr="00586F1D">
        <w:rPr>
          <w:rFonts w:cs="Calibri Light"/>
          <w:sz w:val="24"/>
          <w:szCs w:val="24"/>
        </w:rPr>
        <w:t>(</w:t>
      </w:r>
      <w:r w:rsidR="004E1C8A" w:rsidRPr="00586F1D">
        <w:rPr>
          <w:rFonts w:cs="Calibri Light"/>
          <w:sz w:val="24"/>
          <w:szCs w:val="24"/>
        </w:rPr>
        <w:t>27</w:t>
      </w:r>
      <w:r w:rsidRPr="00586F1D">
        <w:rPr>
          <w:rFonts w:cs="Calibri Light"/>
          <w:sz w:val="24"/>
          <w:szCs w:val="24"/>
        </w:rPr>
        <w:t xml:space="preserve"> V</w:t>
      </w:r>
      <w:r w:rsidR="004E1C8A" w:rsidRPr="00586F1D">
        <w:rPr>
          <w:rFonts w:cs="Calibri Light"/>
          <w:sz w:val="24"/>
          <w:szCs w:val="24"/>
        </w:rPr>
        <w:t>I</w:t>
      </w:r>
      <w:r w:rsidRPr="00586F1D">
        <w:rPr>
          <w:rFonts w:cs="Calibri Light"/>
          <w:sz w:val="24"/>
          <w:szCs w:val="24"/>
        </w:rPr>
        <w:t xml:space="preserve"> 2023)</w:t>
      </w:r>
    </w:p>
    <w:p w:rsidR="00EC7072" w:rsidRDefault="00EC7072" w:rsidP="000D0CD9">
      <w:pPr>
        <w:jc w:val="right"/>
        <w:rPr>
          <w:rFonts w:cs="Calibri Light"/>
          <w:sz w:val="24"/>
          <w:szCs w:val="24"/>
        </w:rPr>
      </w:pPr>
    </w:p>
    <w:p w:rsidR="00C62275" w:rsidRPr="00586F1D" w:rsidRDefault="00C62275" w:rsidP="000D0CD9">
      <w:pPr>
        <w:jc w:val="right"/>
        <w:rPr>
          <w:rFonts w:cs="Calibri Light"/>
          <w:sz w:val="24"/>
          <w:szCs w:val="24"/>
        </w:rPr>
      </w:pPr>
    </w:p>
    <w:p w:rsidR="008D6A42" w:rsidRPr="00586F1D" w:rsidRDefault="008D6A42" w:rsidP="00C62275">
      <w:pPr>
        <w:pStyle w:val="Nagwek2"/>
      </w:pPr>
      <w:bookmarkStart w:id="23" w:name="_Toc178250030"/>
      <w:r w:rsidRPr="00586F1D">
        <w:t xml:space="preserve">Prof. Lisa Cooper </w:t>
      </w:r>
      <w:proofErr w:type="spellStart"/>
      <w:r w:rsidRPr="00586F1D">
        <w:t>Vest</w:t>
      </w:r>
      <w:proofErr w:type="spellEnd"/>
      <w:r w:rsidRPr="00586F1D">
        <w:t xml:space="preserve"> (University of Southern California, Los Angeles), Krzysztof </w:t>
      </w:r>
      <w:proofErr w:type="spellStart"/>
      <w:r w:rsidRPr="00586F1D">
        <w:t>Penderecki’s</w:t>
      </w:r>
      <w:proofErr w:type="spellEnd"/>
      <w:r w:rsidRPr="00586F1D">
        <w:t xml:space="preserve"> '</w:t>
      </w:r>
      <w:proofErr w:type="spellStart"/>
      <w:r w:rsidRPr="00586F1D">
        <w:t>Threnody</w:t>
      </w:r>
      <w:proofErr w:type="spellEnd"/>
      <w:r w:rsidRPr="00586F1D">
        <w:t xml:space="preserve"> to the </w:t>
      </w:r>
      <w:proofErr w:type="spellStart"/>
      <w:r w:rsidRPr="00586F1D">
        <w:t>Victims</w:t>
      </w:r>
      <w:proofErr w:type="spellEnd"/>
      <w:r w:rsidRPr="00586F1D">
        <w:t xml:space="preserve"> of </w:t>
      </w:r>
      <w:proofErr w:type="spellStart"/>
      <w:r w:rsidRPr="00586F1D">
        <w:t>Hiroshima</w:t>
      </w:r>
      <w:proofErr w:type="spellEnd"/>
      <w:r w:rsidRPr="00586F1D">
        <w:t xml:space="preserve">' and Canon Construction in the </w:t>
      </w:r>
      <w:proofErr w:type="spellStart"/>
      <w:r w:rsidRPr="00586F1D">
        <w:t>Late</w:t>
      </w:r>
      <w:proofErr w:type="spellEnd"/>
      <w:r w:rsidRPr="00586F1D">
        <w:t xml:space="preserve"> </w:t>
      </w:r>
      <w:proofErr w:type="spellStart"/>
      <w:r w:rsidRPr="00586F1D">
        <w:t>Twentieth</w:t>
      </w:r>
      <w:proofErr w:type="spellEnd"/>
      <w:r w:rsidRPr="00586F1D">
        <w:t xml:space="preserve"> Century</w:t>
      </w:r>
      <w:bookmarkEnd w:id="23"/>
    </w:p>
    <w:p w:rsidR="008D6A42" w:rsidRPr="00586F1D" w:rsidRDefault="008D6A42" w:rsidP="008D6A42">
      <w:pPr>
        <w:jc w:val="both"/>
        <w:rPr>
          <w:rFonts w:cs="Calibri Light"/>
          <w:sz w:val="24"/>
          <w:szCs w:val="24"/>
        </w:rPr>
      </w:pPr>
      <w:r w:rsidRPr="00586F1D">
        <w:rPr>
          <w:rFonts w:cs="Calibri Light"/>
          <w:bCs/>
          <w:sz w:val="24"/>
          <w:szCs w:val="24"/>
        </w:rPr>
        <w:t xml:space="preserve">Prof. Lisa Cooper </w:t>
      </w:r>
      <w:proofErr w:type="spellStart"/>
      <w:r w:rsidRPr="00586F1D">
        <w:rPr>
          <w:rFonts w:cs="Calibri Light"/>
          <w:bCs/>
          <w:sz w:val="24"/>
          <w:szCs w:val="24"/>
        </w:rPr>
        <w:t>Vest</w:t>
      </w:r>
      <w:proofErr w:type="spellEnd"/>
      <w:r w:rsidRPr="00586F1D">
        <w:rPr>
          <w:rFonts w:cs="Calibri Light"/>
          <w:sz w:val="24"/>
          <w:szCs w:val="24"/>
        </w:rPr>
        <w:t xml:space="preserve">, University of Southern California - Thornton School of Music, Los Angeles, muzykolożka, bada zależności między ideologiami politycznymi a kulturą muzyczną, w szczególności w krajach bloku komunistycznego. Jest autorką wysoko ocenianej pracy poświęconej polskiej powojennej awangardzie muzycznej </w:t>
      </w:r>
      <w:r w:rsidRPr="00586F1D">
        <w:rPr>
          <w:rFonts w:cs="Calibri Light"/>
          <w:i/>
          <w:iCs/>
          <w:sz w:val="24"/>
          <w:szCs w:val="24"/>
        </w:rPr>
        <w:t xml:space="preserve">Awangarda: </w:t>
      </w:r>
      <w:proofErr w:type="spellStart"/>
      <w:r w:rsidRPr="00586F1D">
        <w:rPr>
          <w:rFonts w:cs="Calibri Light"/>
          <w:i/>
          <w:iCs/>
          <w:sz w:val="24"/>
          <w:szCs w:val="24"/>
        </w:rPr>
        <w:t>Tradition</w:t>
      </w:r>
      <w:proofErr w:type="spellEnd"/>
      <w:r w:rsidRPr="00586F1D">
        <w:rPr>
          <w:rFonts w:cs="Calibri Light"/>
          <w:i/>
          <w:iCs/>
          <w:sz w:val="24"/>
          <w:szCs w:val="24"/>
        </w:rPr>
        <w:t xml:space="preserve"> and </w:t>
      </w:r>
      <w:proofErr w:type="spellStart"/>
      <w:r w:rsidRPr="00586F1D">
        <w:rPr>
          <w:rFonts w:cs="Calibri Light"/>
          <w:i/>
          <w:iCs/>
          <w:sz w:val="24"/>
          <w:szCs w:val="24"/>
        </w:rPr>
        <w:t>Modernity</w:t>
      </w:r>
      <w:proofErr w:type="spellEnd"/>
      <w:r w:rsidRPr="00586F1D">
        <w:rPr>
          <w:rFonts w:cs="Calibri Light"/>
          <w:i/>
          <w:iCs/>
          <w:sz w:val="24"/>
          <w:szCs w:val="24"/>
        </w:rPr>
        <w:t xml:space="preserve"> in </w:t>
      </w:r>
      <w:proofErr w:type="spellStart"/>
      <w:r w:rsidRPr="00586F1D">
        <w:rPr>
          <w:rFonts w:cs="Calibri Light"/>
          <w:i/>
          <w:iCs/>
          <w:sz w:val="24"/>
          <w:szCs w:val="24"/>
        </w:rPr>
        <w:t>Postwar</w:t>
      </w:r>
      <w:proofErr w:type="spellEnd"/>
      <w:r w:rsidRPr="00586F1D">
        <w:rPr>
          <w:rFonts w:cs="Calibri Light"/>
          <w:i/>
          <w:iCs/>
          <w:sz w:val="24"/>
          <w:szCs w:val="24"/>
        </w:rPr>
        <w:t xml:space="preserve"> </w:t>
      </w:r>
      <w:proofErr w:type="spellStart"/>
      <w:r w:rsidRPr="00586F1D">
        <w:rPr>
          <w:rFonts w:cs="Calibri Light"/>
          <w:i/>
          <w:iCs/>
          <w:sz w:val="24"/>
          <w:szCs w:val="24"/>
        </w:rPr>
        <w:t>Polish</w:t>
      </w:r>
      <w:proofErr w:type="spellEnd"/>
      <w:r w:rsidRPr="00586F1D">
        <w:rPr>
          <w:rFonts w:cs="Calibri Light"/>
          <w:i/>
          <w:iCs/>
          <w:sz w:val="24"/>
          <w:szCs w:val="24"/>
        </w:rPr>
        <w:t xml:space="preserve"> Music</w:t>
      </w:r>
      <w:r w:rsidRPr="00586F1D">
        <w:rPr>
          <w:rFonts w:cs="Calibri Light"/>
          <w:sz w:val="24"/>
          <w:szCs w:val="24"/>
        </w:rPr>
        <w:t> (University of California Press, 2020), w której rozważa sposoby działania, jakie wypracowali artyści i intelektualiści, by osiągnąć porozumienie ponad podziałami pokoleniowymi, politycznymi i estetycznymi.</w:t>
      </w:r>
    </w:p>
    <w:p w:rsidR="008D6A42" w:rsidRPr="00586F1D" w:rsidRDefault="008D6A42" w:rsidP="008D6A42">
      <w:pPr>
        <w:jc w:val="both"/>
        <w:rPr>
          <w:rFonts w:cs="Calibri Light"/>
          <w:sz w:val="24"/>
          <w:szCs w:val="24"/>
        </w:rPr>
      </w:pPr>
      <w:r w:rsidRPr="00586F1D">
        <w:rPr>
          <w:rFonts w:cs="Calibri Light"/>
          <w:sz w:val="24"/>
          <w:szCs w:val="24"/>
        </w:rPr>
        <w:t xml:space="preserve">Warto wspomnieć również o innych jej publikacjach dotyczących polskiej kultury muzycznej, np. na temat głosu i płci w operze Krzysztofa Pendereckiego </w:t>
      </w:r>
      <w:r w:rsidRPr="00586F1D">
        <w:rPr>
          <w:rFonts w:cs="Calibri Light"/>
          <w:i/>
          <w:iCs/>
          <w:sz w:val="24"/>
          <w:szCs w:val="24"/>
        </w:rPr>
        <w:t>Diabły z Loudun</w:t>
      </w:r>
      <w:r w:rsidRPr="00586F1D">
        <w:rPr>
          <w:rFonts w:cs="Calibri Light"/>
          <w:sz w:val="24"/>
          <w:szCs w:val="24"/>
        </w:rPr>
        <w:t xml:space="preserve"> (1968), a także na temat inicjatyw edukacyjnych Związku Kompozytorów Polskich pod koniec lat pięćdziesiątych.</w:t>
      </w:r>
    </w:p>
    <w:p w:rsidR="008D6A42" w:rsidRPr="00586F1D" w:rsidRDefault="008D6A42" w:rsidP="008D6A42">
      <w:pPr>
        <w:jc w:val="both"/>
        <w:rPr>
          <w:rFonts w:cs="Calibri Light"/>
          <w:sz w:val="24"/>
          <w:szCs w:val="24"/>
        </w:rPr>
      </w:pPr>
      <w:r w:rsidRPr="00586F1D">
        <w:rPr>
          <w:rFonts w:cs="Calibri Light"/>
          <w:sz w:val="24"/>
          <w:szCs w:val="24"/>
        </w:rPr>
        <w:t xml:space="preserve">Ostatnio prof. Lisa Cooper </w:t>
      </w:r>
      <w:proofErr w:type="spellStart"/>
      <w:r w:rsidRPr="00586F1D">
        <w:rPr>
          <w:rFonts w:cs="Calibri Light"/>
          <w:sz w:val="24"/>
          <w:szCs w:val="24"/>
        </w:rPr>
        <w:t>Vest</w:t>
      </w:r>
      <w:proofErr w:type="spellEnd"/>
      <w:r w:rsidRPr="00586F1D">
        <w:rPr>
          <w:rFonts w:cs="Calibri Light"/>
          <w:sz w:val="24"/>
          <w:szCs w:val="24"/>
        </w:rPr>
        <w:t xml:space="preserve"> zajmuje się m.in. badaniem międzynarodowej recepcji </w:t>
      </w:r>
      <w:r w:rsidRPr="00586F1D">
        <w:rPr>
          <w:rFonts w:cs="Calibri Light"/>
          <w:i/>
          <w:iCs/>
          <w:sz w:val="24"/>
          <w:szCs w:val="24"/>
        </w:rPr>
        <w:t xml:space="preserve">Trenu </w:t>
      </w:r>
      <w:r w:rsidRPr="00586F1D">
        <w:rPr>
          <w:rFonts w:cs="Calibri Light"/>
          <w:iCs/>
          <w:sz w:val="24"/>
          <w:szCs w:val="24"/>
        </w:rPr>
        <w:t>(</w:t>
      </w:r>
      <w:r w:rsidRPr="00586F1D">
        <w:rPr>
          <w:rFonts w:cs="Calibri Light"/>
          <w:sz w:val="24"/>
          <w:szCs w:val="24"/>
        </w:rPr>
        <w:t>1960) Pendereckiego.</w:t>
      </w:r>
    </w:p>
    <w:p w:rsidR="008D6A42" w:rsidRPr="00586F1D" w:rsidRDefault="008D6A42" w:rsidP="008D6A42">
      <w:pPr>
        <w:jc w:val="right"/>
        <w:rPr>
          <w:rFonts w:cs="Calibri Light"/>
          <w:sz w:val="24"/>
          <w:szCs w:val="24"/>
        </w:rPr>
      </w:pPr>
      <w:r w:rsidRPr="00586F1D">
        <w:rPr>
          <w:rFonts w:cs="Calibri Light"/>
          <w:sz w:val="24"/>
          <w:szCs w:val="24"/>
        </w:rPr>
        <w:t xml:space="preserve"> (24 X 2023, STACJONARNIE)</w:t>
      </w:r>
    </w:p>
    <w:p w:rsidR="008D6A42" w:rsidRDefault="008D6A42" w:rsidP="008D6A42">
      <w:pPr>
        <w:jc w:val="right"/>
        <w:rPr>
          <w:rFonts w:cs="Calibri Light"/>
          <w:sz w:val="24"/>
          <w:szCs w:val="24"/>
        </w:rPr>
      </w:pPr>
    </w:p>
    <w:p w:rsidR="00C62275" w:rsidRPr="00586F1D" w:rsidRDefault="00C62275" w:rsidP="008D6A42">
      <w:pPr>
        <w:jc w:val="right"/>
        <w:rPr>
          <w:rFonts w:cs="Calibri Light"/>
          <w:sz w:val="24"/>
          <w:szCs w:val="24"/>
        </w:rPr>
      </w:pPr>
    </w:p>
    <w:p w:rsidR="008D6A42" w:rsidRPr="00586F1D" w:rsidRDefault="008D6A42" w:rsidP="00C62275">
      <w:pPr>
        <w:pStyle w:val="Nagwek2"/>
      </w:pPr>
      <w:bookmarkStart w:id="24" w:name="_Toc178250031"/>
      <w:r w:rsidRPr="00586F1D">
        <w:t>Joanna Szymajda (IS PAN),</w:t>
      </w:r>
      <w:r w:rsidRPr="00586F1D">
        <w:rPr>
          <w:iCs/>
        </w:rPr>
        <w:t xml:space="preserve"> </w:t>
      </w:r>
      <w:r w:rsidRPr="00586F1D">
        <w:t>Migracje idei i ciał – transnarodowe ścieżki tańca współczesnego</w:t>
      </w:r>
      <w:bookmarkEnd w:id="24"/>
      <w:r w:rsidRPr="00586F1D">
        <w:t xml:space="preserve"> </w:t>
      </w:r>
    </w:p>
    <w:p w:rsidR="006B7A6C" w:rsidRPr="00586F1D" w:rsidRDefault="006B7A6C" w:rsidP="006B7A6C">
      <w:pPr>
        <w:jc w:val="both"/>
        <w:rPr>
          <w:rFonts w:cs="Calibri Light"/>
          <w:bCs/>
          <w:sz w:val="24"/>
          <w:szCs w:val="24"/>
        </w:rPr>
      </w:pPr>
      <w:r w:rsidRPr="00586F1D">
        <w:rPr>
          <w:rFonts w:cs="Calibri Light"/>
          <w:bCs/>
          <w:sz w:val="24"/>
          <w:szCs w:val="24"/>
        </w:rPr>
        <w:t xml:space="preserve">Od początku XX w. wymuszone lub wybrane drogi (e)migracji w historii tańca współczesnego stanowiły jeden z głównych motorów rozwoju nowych estetyk i idei związanych z ruchem i ciałem. Na przykładach życiorysów i działalności wybranych artystek i artystów, w tym pochodzenia polskiego (min. Marie </w:t>
      </w:r>
      <w:proofErr w:type="spellStart"/>
      <w:r w:rsidRPr="00586F1D">
        <w:rPr>
          <w:rFonts w:cs="Calibri Light"/>
          <w:bCs/>
          <w:sz w:val="24"/>
          <w:szCs w:val="24"/>
        </w:rPr>
        <w:t>Rambert</w:t>
      </w:r>
      <w:proofErr w:type="spellEnd"/>
      <w:r w:rsidRPr="00586F1D">
        <w:rPr>
          <w:rFonts w:cs="Calibri Light"/>
          <w:bCs/>
          <w:sz w:val="24"/>
          <w:szCs w:val="24"/>
        </w:rPr>
        <w:t xml:space="preserve">, Pola </w:t>
      </w:r>
      <w:proofErr w:type="spellStart"/>
      <w:r w:rsidRPr="00586F1D">
        <w:rPr>
          <w:rFonts w:cs="Calibri Light"/>
          <w:bCs/>
          <w:sz w:val="24"/>
          <w:szCs w:val="24"/>
        </w:rPr>
        <w:t>Nireńska</w:t>
      </w:r>
      <w:proofErr w:type="spellEnd"/>
      <w:r w:rsidRPr="00586F1D">
        <w:rPr>
          <w:rFonts w:cs="Calibri Light"/>
          <w:bCs/>
          <w:sz w:val="24"/>
          <w:szCs w:val="24"/>
        </w:rPr>
        <w:t xml:space="preserve">, </w:t>
      </w:r>
      <w:proofErr w:type="spellStart"/>
      <w:r w:rsidRPr="00586F1D">
        <w:rPr>
          <w:rFonts w:cs="Calibri Light"/>
          <w:bCs/>
          <w:sz w:val="24"/>
          <w:szCs w:val="24"/>
        </w:rPr>
        <w:t>Yanka</w:t>
      </w:r>
      <w:proofErr w:type="spellEnd"/>
      <w:r w:rsidRPr="00586F1D">
        <w:rPr>
          <w:rFonts w:cs="Calibri Light"/>
          <w:bCs/>
          <w:sz w:val="24"/>
          <w:szCs w:val="24"/>
        </w:rPr>
        <w:t xml:space="preserve"> Rudzka), chciałabym przybliżyć kilka takich fenomenów, głównie z pierwszej połowy XX wieku, które zobrazują w jak ogromnym stopniu nowy taniec był (i jest nadal) sztuką przekraczającą granice państw i estetyk, czerpiącą z idei uniwersalnych i globalnych, realizujących się w skonkretyzowanych, lokalnych wersjach. </w:t>
      </w:r>
    </w:p>
    <w:p w:rsidR="008D6A42" w:rsidRPr="00586F1D" w:rsidRDefault="008D6A42" w:rsidP="008D6A42">
      <w:pPr>
        <w:jc w:val="right"/>
        <w:rPr>
          <w:rFonts w:cs="Calibri Light"/>
          <w:bCs/>
          <w:sz w:val="24"/>
          <w:szCs w:val="24"/>
        </w:rPr>
      </w:pPr>
      <w:r w:rsidRPr="00586F1D">
        <w:rPr>
          <w:rFonts w:cs="Calibri Light"/>
          <w:bCs/>
          <w:sz w:val="24"/>
          <w:szCs w:val="24"/>
        </w:rPr>
        <w:t>(28 XI 2023)</w:t>
      </w:r>
    </w:p>
    <w:p w:rsidR="00586F1D" w:rsidRDefault="00586F1D" w:rsidP="008D6A42">
      <w:pPr>
        <w:jc w:val="right"/>
        <w:rPr>
          <w:rFonts w:cs="Calibri Light"/>
          <w:bCs/>
          <w:sz w:val="24"/>
          <w:szCs w:val="24"/>
        </w:rPr>
      </w:pPr>
    </w:p>
    <w:p w:rsidR="00C62275" w:rsidRPr="00586F1D" w:rsidRDefault="00C62275" w:rsidP="008D6A42">
      <w:pPr>
        <w:jc w:val="right"/>
        <w:rPr>
          <w:rFonts w:cs="Calibri Light"/>
          <w:bCs/>
          <w:sz w:val="24"/>
          <w:szCs w:val="24"/>
        </w:rPr>
      </w:pPr>
    </w:p>
    <w:p w:rsidR="00A75C6F" w:rsidRPr="00586F1D" w:rsidRDefault="00A75C6F" w:rsidP="00C62275">
      <w:pPr>
        <w:pStyle w:val="Nagwek2"/>
      </w:pPr>
      <w:bookmarkStart w:id="25" w:name="_Toc178250032"/>
      <w:r w:rsidRPr="00586F1D">
        <w:lastRenderedPageBreak/>
        <w:t xml:space="preserve">Iwona </w:t>
      </w:r>
      <w:proofErr w:type="spellStart"/>
      <w:r w:rsidRPr="00586F1D">
        <w:t>Lindstedt</w:t>
      </w:r>
      <w:proofErr w:type="spellEnd"/>
      <w:r w:rsidRPr="00586F1D">
        <w:t xml:space="preserve"> (UW), Polska muzyka filmowa z lat 1930–1939. Twórcy i zjawiska</w:t>
      </w:r>
      <w:bookmarkEnd w:id="25"/>
    </w:p>
    <w:p w:rsidR="00736FDC" w:rsidRDefault="00A75C6F" w:rsidP="00586F1D">
      <w:pPr>
        <w:jc w:val="both"/>
        <w:rPr>
          <w:rFonts w:cs="Calibri Light"/>
          <w:sz w:val="24"/>
          <w:szCs w:val="24"/>
          <w:shd w:val="clear" w:color="auto" w:fill="FFFFFF"/>
        </w:rPr>
      </w:pPr>
      <w:r w:rsidRPr="00586F1D">
        <w:rPr>
          <w:rFonts w:cs="Calibri Light"/>
          <w:sz w:val="24"/>
          <w:szCs w:val="24"/>
          <w:shd w:val="clear" w:color="auto" w:fill="FFFFFF"/>
        </w:rPr>
        <w:t xml:space="preserve">W latach 30. ubiegłego stulecia w twórczość na potrzeby kina dźwiękowego zaangażowało się blisko 50 polskich kompozytorów działających przede wszystkim w kraju, ale także poza jego granicami. Już w jednej z pierwszych prasowych relacji na temat stanu kompozycji filmowej w Polsce, opublikowanej w 1931 roku na łamach „Kina”, Józef Fryd wymienił nazwiska 10 jej twórców (Ludomir Różycki, Grzegorz Fitelberg, Henryk Wars, Władysław Dan, Szymon </w:t>
      </w:r>
      <w:proofErr w:type="spellStart"/>
      <w:r w:rsidRPr="00586F1D">
        <w:rPr>
          <w:rFonts w:cs="Calibri Light"/>
          <w:sz w:val="24"/>
          <w:szCs w:val="24"/>
          <w:shd w:val="clear" w:color="auto" w:fill="FFFFFF"/>
        </w:rPr>
        <w:t>Kataszek</w:t>
      </w:r>
      <w:proofErr w:type="spellEnd"/>
      <w:r w:rsidRPr="00586F1D">
        <w:rPr>
          <w:rFonts w:cs="Calibri Light"/>
          <w:sz w:val="24"/>
          <w:szCs w:val="24"/>
          <w:shd w:val="clear" w:color="auto" w:fill="FFFFFF"/>
        </w:rPr>
        <w:t xml:space="preserve">, Tadeusz Górzyński, Adam Szpak, Feliks Rybicki, Roman Palester, Piotr Perkowski), a grono to szybko się rozrastało. Znaleźli się w nim zarówno kompozytorzy kojarzeni przede wszystkim ze sferą muzyki tanecznej czy jazzowej, jak i przynależący w pierwszym rzędzie do świata muzyki artystycznej. Dla tych drugich włączenie się w nurt ówczesnej kultury popularnej bywało nie tylko motywowaną względami merkantylnymi „przygodą”, ale też poważnym artystycznym wyzwaniem, któremu starali się sprostać korzystając z pełni swej wiedzy i umiejętności. Niektórzy z nich (jak Karol </w:t>
      </w:r>
      <w:proofErr w:type="spellStart"/>
      <w:r w:rsidRPr="00586F1D">
        <w:rPr>
          <w:rFonts w:cs="Calibri Light"/>
          <w:sz w:val="24"/>
          <w:szCs w:val="24"/>
          <w:shd w:val="clear" w:color="auto" w:fill="FFFFFF"/>
        </w:rPr>
        <w:t>Rathaus</w:t>
      </w:r>
      <w:proofErr w:type="spellEnd"/>
      <w:r w:rsidRPr="00586F1D">
        <w:rPr>
          <w:rFonts w:cs="Calibri Light"/>
          <w:sz w:val="24"/>
          <w:szCs w:val="24"/>
          <w:shd w:val="clear" w:color="auto" w:fill="FFFFFF"/>
        </w:rPr>
        <w:t xml:space="preserve"> i Marian </w:t>
      </w:r>
      <w:proofErr w:type="spellStart"/>
      <w:r w:rsidRPr="00586F1D">
        <w:rPr>
          <w:rFonts w:cs="Calibri Light"/>
          <w:sz w:val="24"/>
          <w:szCs w:val="24"/>
          <w:shd w:val="clear" w:color="auto" w:fill="FFFFFF"/>
        </w:rPr>
        <w:t>Neuteich</w:t>
      </w:r>
      <w:proofErr w:type="spellEnd"/>
      <w:r w:rsidRPr="00586F1D">
        <w:rPr>
          <w:rFonts w:cs="Calibri Light"/>
          <w:sz w:val="24"/>
          <w:szCs w:val="24"/>
          <w:shd w:val="clear" w:color="auto" w:fill="FFFFFF"/>
        </w:rPr>
        <w:t>) byli nawet autorami istotnych prac teoretycznych podejmujących problem zespolenia czynników wizualnych i akustycznych w filmie dźwiękowym. Na przeciwległym biegunie znajdziemy natomiast grupę muzycznych amatorów, dla których kompozycja była aktywnością niezwiązaną z wyuczonym lub/i wykonywanym zawodem.</w:t>
      </w:r>
    </w:p>
    <w:p w:rsidR="00A75C6F" w:rsidRPr="00586F1D" w:rsidRDefault="00A75C6F" w:rsidP="00586F1D">
      <w:pPr>
        <w:jc w:val="both"/>
        <w:rPr>
          <w:rFonts w:cs="Calibri Light"/>
          <w:sz w:val="24"/>
          <w:szCs w:val="24"/>
          <w:shd w:val="clear" w:color="auto" w:fill="FFFFFF"/>
        </w:rPr>
      </w:pPr>
      <w:r w:rsidRPr="00586F1D">
        <w:rPr>
          <w:rFonts w:cs="Calibri Light"/>
          <w:sz w:val="24"/>
          <w:szCs w:val="24"/>
          <w:shd w:val="clear" w:color="auto" w:fill="FFFFFF"/>
        </w:rPr>
        <w:t>Podstawą i punktem wyjścia dla wykładu będą wizualizacje danych zawartych w specjalnie stworzonej bazie z informacjami na temat owych, aktywnych w pierwszej dekadzie rozwoju kina dźwiękowego kompozytorów oraz ich dzieł. Wizualizacje te pozwolą na wyprowadzenie wniosków o charakterze ilościowym i relacyjnym. Ponadto poświęcę uwagę własnościom stylistycznym tworzonej w latach 1930–1939 muzyki do filmów. Zwłaszcza takiej, w której mieszały się rozmaite konwencje i do której w dość szerokim zakresie przenikały impulsy płynące z folkloru oraz jazzu (w jego ówczesnym rozumieniu), dla którego film dźwiękowy stanowił ważny punkt odniesienia.</w:t>
      </w:r>
    </w:p>
    <w:p w:rsidR="00A75C6F" w:rsidRDefault="00A75C6F" w:rsidP="00A75C6F">
      <w:pPr>
        <w:jc w:val="right"/>
        <w:rPr>
          <w:shd w:val="clear" w:color="auto" w:fill="FFFFFF"/>
        </w:rPr>
      </w:pPr>
      <w:r>
        <w:rPr>
          <w:shd w:val="clear" w:color="auto" w:fill="FFFFFF"/>
        </w:rPr>
        <w:t>(30 I 2024)</w:t>
      </w:r>
    </w:p>
    <w:p w:rsidR="00C62275" w:rsidRDefault="00C62275" w:rsidP="00A75C6F">
      <w:pPr>
        <w:jc w:val="right"/>
        <w:rPr>
          <w:shd w:val="clear" w:color="auto" w:fill="FFFFFF"/>
        </w:rPr>
      </w:pPr>
    </w:p>
    <w:p w:rsidR="005B40CF" w:rsidRDefault="005B40CF" w:rsidP="00A75C6F">
      <w:pPr>
        <w:jc w:val="right"/>
        <w:rPr>
          <w:shd w:val="clear" w:color="auto" w:fill="FFFFFF"/>
        </w:rPr>
      </w:pPr>
    </w:p>
    <w:p w:rsidR="00C62275" w:rsidRDefault="005B40CF" w:rsidP="005B40CF">
      <w:pPr>
        <w:pStyle w:val="Nagwek2"/>
        <w:rPr>
          <w:shd w:val="clear" w:color="auto" w:fill="FFFFFF"/>
        </w:rPr>
      </w:pPr>
      <w:bookmarkStart w:id="26" w:name="_Toc178250033"/>
      <w:r w:rsidRPr="005B40CF">
        <w:rPr>
          <w:shd w:val="clear" w:color="auto" w:fill="FFFFFF"/>
        </w:rPr>
        <w:t>Mikołaj Nowak-Rogoziński,</w:t>
      </w:r>
      <w:r>
        <w:rPr>
          <w:shd w:val="clear" w:color="auto" w:fill="FFFFFF"/>
        </w:rPr>
        <w:t xml:space="preserve"> </w:t>
      </w:r>
      <w:r w:rsidRPr="005B40CF">
        <w:rPr>
          <w:shd w:val="clear" w:color="auto" w:fill="FFFFFF"/>
        </w:rPr>
        <w:t>O zaletach i wadach emigracji. Malarstwo Józefa Czapskiego</w:t>
      </w:r>
      <w:bookmarkEnd w:id="26"/>
      <w:r w:rsidRPr="005B40CF">
        <w:rPr>
          <w:shd w:val="clear" w:color="auto" w:fill="FFFFFF"/>
        </w:rPr>
        <w:t> </w:t>
      </w:r>
    </w:p>
    <w:p w:rsidR="005B40CF" w:rsidRPr="005B40CF" w:rsidRDefault="005B40CF" w:rsidP="005B40CF">
      <w:pPr>
        <w:jc w:val="both"/>
        <w:rPr>
          <w:sz w:val="24"/>
        </w:rPr>
      </w:pPr>
      <w:r w:rsidRPr="005B40CF">
        <w:rPr>
          <w:sz w:val="24"/>
        </w:rPr>
        <w:t xml:space="preserve">Józef Czapski należy do panteonu polskiej historii jako świadek XX wieku, a jako malarz do najwybitniejszych przedstawicieli polskiej sztuki. W Polsce spędził jednak niecałą dekadę, a we Francji ponad pół wieku. Urodził się w Pradze należącej do imperium Habsburgów, dzieciństwo spędził w zaborze rosyjskim, szkoły odbył w Petersburgu. W Polsce rozpoczął studia malarskie, które, po założeniu słynnej grupy Kapistów, kontynuował w Paryżu. Po wojnie nie mógł wrócić do kraju, żył w bardzo skromnych warunkach pod Paryżem, gdzie jego malarstwo osiągnęło poziom nieporównywalnie wyższy niż przyjaciół z grupy Kapistów. Podobnie pisarstwo Czapskiego – mimo oderwania od codzienności w języku, w którym tworzył, jego teksty są nie tylko ważną częścią kanonu literackiego, ale także wzorem polszczyzny. Niezależność Czapskiego w malarstwie, pisarstwie i w namyśle nad światem, po części była możliwa dzięki dystansowi wobec dawnych doktryn malarskich kapistów i spojrzeniu z oddali na kulturę polską. Zasadnicza jest jednak jego umiejętność twórczego korzystania z kultur, w których czuł </w:t>
      </w:r>
      <w:r w:rsidRPr="005B40CF">
        <w:rPr>
          <w:sz w:val="24"/>
        </w:rPr>
        <w:lastRenderedPageBreak/>
        <w:t>się swobodnie – jak kultura francuska, rosyjska i niemiecka. W</w:t>
      </w:r>
      <w:r>
        <w:rPr>
          <w:sz w:val="24"/>
        </w:rPr>
        <w:t xml:space="preserve"> </w:t>
      </w:r>
      <w:r w:rsidRPr="005B40CF">
        <w:rPr>
          <w:sz w:val="24"/>
        </w:rPr>
        <w:t>ramach wykładu zostanie zarysowana sylwetka twórcza Czapskiego, plasująca się na przecięciu kultur i tradycji, skupiająca jak w soczewce Europę XX wieku.</w:t>
      </w:r>
    </w:p>
    <w:p w:rsidR="005B40CF" w:rsidRPr="005B40CF" w:rsidRDefault="005B40CF" w:rsidP="005B40CF"/>
    <w:p w:rsidR="005B40CF" w:rsidRDefault="005B40CF" w:rsidP="005B40CF">
      <w:pPr>
        <w:jc w:val="right"/>
      </w:pPr>
      <w:r>
        <w:t>(27 II 2024)</w:t>
      </w:r>
    </w:p>
    <w:p w:rsidR="005B40CF" w:rsidRDefault="005B40CF" w:rsidP="005B40CF"/>
    <w:p w:rsidR="005B40CF" w:rsidRDefault="005B40CF" w:rsidP="005B40CF"/>
    <w:p w:rsidR="005B40CF" w:rsidRPr="005B40CF" w:rsidRDefault="005B40CF" w:rsidP="005B40CF">
      <w:pPr>
        <w:pStyle w:val="Nagwek2"/>
      </w:pPr>
      <w:bookmarkStart w:id="27" w:name="_Toc178250034"/>
      <w:r w:rsidRPr="005B40CF">
        <w:rPr>
          <w:shd w:val="clear" w:color="auto" w:fill="FFFFFF"/>
        </w:rPr>
        <w:t xml:space="preserve">Przemysław </w:t>
      </w:r>
      <w:proofErr w:type="spellStart"/>
      <w:r w:rsidRPr="005B40CF">
        <w:rPr>
          <w:shd w:val="clear" w:color="auto" w:fill="FFFFFF"/>
        </w:rPr>
        <w:t>Strożek</w:t>
      </w:r>
      <w:proofErr w:type="spellEnd"/>
      <w:r w:rsidRPr="005B40CF">
        <w:rPr>
          <w:shd w:val="clear" w:color="auto" w:fill="FFFFFF"/>
        </w:rPr>
        <w:t xml:space="preserve"> (IS PAN),</w:t>
      </w:r>
      <w:r w:rsidR="00DB5195">
        <w:rPr>
          <w:shd w:val="clear" w:color="auto" w:fill="FFFFFF"/>
        </w:rPr>
        <w:t xml:space="preserve"> </w:t>
      </w:r>
      <w:r w:rsidRPr="005B40CF">
        <w:rPr>
          <w:i/>
          <w:iCs/>
          <w:shd w:val="clear" w:color="auto" w:fill="FFFFFF"/>
        </w:rPr>
        <w:t>Sny, które można kupić za pieniądze (1947), </w:t>
      </w:r>
      <w:r w:rsidRPr="005B40CF">
        <w:rPr>
          <w:shd w:val="clear" w:color="auto" w:fill="FFFFFF"/>
        </w:rPr>
        <w:t>czyli „archiwum awangardy” na emigracji</w:t>
      </w:r>
      <w:bookmarkEnd w:id="27"/>
    </w:p>
    <w:p w:rsidR="005B40CF" w:rsidRDefault="005B40CF" w:rsidP="005B40CF"/>
    <w:p w:rsidR="005B40CF" w:rsidRPr="005B40CF" w:rsidRDefault="005B40CF" w:rsidP="005B40CF">
      <w:pPr>
        <w:jc w:val="both"/>
        <w:rPr>
          <w:sz w:val="24"/>
        </w:rPr>
      </w:pPr>
      <w:r w:rsidRPr="005B40CF">
        <w:rPr>
          <w:i/>
          <w:iCs/>
          <w:sz w:val="24"/>
        </w:rPr>
        <w:t>Sny, które można kupić za pieniądze</w:t>
      </w:r>
      <w:r>
        <w:rPr>
          <w:sz w:val="24"/>
        </w:rPr>
        <w:t xml:space="preserve"> </w:t>
      </w:r>
      <w:r w:rsidRPr="005B40CF">
        <w:rPr>
          <w:sz w:val="24"/>
        </w:rPr>
        <w:t>to pełnometrażowy film Hansa Richtera nakręcony w</w:t>
      </w:r>
      <w:r>
        <w:rPr>
          <w:sz w:val="24"/>
        </w:rPr>
        <w:t> </w:t>
      </w:r>
      <w:r w:rsidRPr="005B40CF">
        <w:rPr>
          <w:sz w:val="24"/>
        </w:rPr>
        <w:t xml:space="preserve">latach 1944-46 w Nowym Jorku. Powstał on przy współudziale czołowych artystów awangardy, uciekających do Stanów Zjednoczonych z ogarniętej wojną Europy i opowiada historię młodego poety Joe (w tej roli Jack Bittner), który otwiera eleganckie biuro psychoanalizy na Manhattanie. Aby zarobić na czynsz, sprzedaje swoim klientom ich własne pragnienia, myśli i motywacje. Sny jego klientów okazują się w rzeczywistości dziełami </w:t>
      </w:r>
      <w:proofErr w:type="spellStart"/>
      <w:r w:rsidRPr="005B40CF">
        <w:rPr>
          <w:sz w:val="24"/>
        </w:rPr>
        <w:t>Maxa</w:t>
      </w:r>
      <w:proofErr w:type="spellEnd"/>
      <w:r w:rsidRPr="005B40CF">
        <w:rPr>
          <w:sz w:val="24"/>
        </w:rPr>
        <w:t xml:space="preserve"> Ernsta, Fernanda </w:t>
      </w:r>
      <w:proofErr w:type="spellStart"/>
      <w:r w:rsidRPr="005B40CF">
        <w:rPr>
          <w:sz w:val="24"/>
        </w:rPr>
        <w:t>Légera</w:t>
      </w:r>
      <w:proofErr w:type="spellEnd"/>
      <w:r w:rsidRPr="005B40CF">
        <w:rPr>
          <w:sz w:val="24"/>
        </w:rPr>
        <w:t xml:space="preserve">, Man Raya, Marcela Duchampa, Alexandra </w:t>
      </w:r>
      <w:proofErr w:type="spellStart"/>
      <w:r w:rsidRPr="005B40CF">
        <w:rPr>
          <w:sz w:val="24"/>
        </w:rPr>
        <w:t>Caldera</w:t>
      </w:r>
      <w:proofErr w:type="spellEnd"/>
      <w:r w:rsidRPr="005B40CF">
        <w:rPr>
          <w:sz w:val="24"/>
        </w:rPr>
        <w:t xml:space="preserve"> i Hansa Richtera, reprezentujących najróżniejsze kierunki awangardy: od dadaizmu, kubizmu i puryzmu do sztuki kinetycznej i surrealizmu.</w:t>
      </w:r>
    </w:p>
    <w:p w:rsidR="005B40CF" w:rsidRPr="005B40CF" w:rsidRDefault="005B40CF" w:rsidP="005B40CF">
      <w:r w:rsidRPr="005B40CF">
        <w:t> </w:t>
      </w:r>
    </w:p>
    <w:p w:rsidR="005B40CF" w:rsidRDefault="005B40CF" w:rsidP="005B40CF">
      <w:pPr>
        <w:jc w:val="right"/>
      </w:pPr>
      <w:r>
        <w:t>(26 III 2024)</w:t>
      </w:r>
    </w:p>
    <w:p w:rsidR="00E47417" w:rsidRDefault="00E47417" w:rsidP="005B40CF">
      <w:pPr>
        <w:jc w:val="right"/>
      </w:pPr>
    </w:p>
    <w:p w:rsidR="00E47417" w:rsidRPr="00E47417" w:rsidRDefault="00E47417" w:rsidP="00E47417">
      <w:pPr>
        <w:pStyle w:val="Nagwek2"/>
      </w:pPr>
      <w:bookmarkStart w:id="28" w:name="_Toc178250035"/>
      <w:r>
        <w:t xml:space="preserve">Spotkanie z autorami książki </w:t>
      </w:r>
      <w:r w:rsidRPr="00E47417">
        <w:rPr>
          <w:i/>
        </w:rPr>
        <w:t>Architekt Aleksander Szymkiewicz (1858-1907)</w:t>
      </w:r>
      <w:r w:rsidRPr="00E47417">
        <w:t> – </w:t>
      </w:r>
      <w:r w:rsidRPr="00E47417">
        <w:rPr>
          <w:i/>
        </w:rPr>
        <w:t>szkic do biografii</w:t>
      </w:r>
      <w:r>
        <w:t xml:space="preserve">: </w:t>
      </w:r>
      <w:r w:rsidRPr="00E47417">
        <w:t>Piotr</w:t>
      </w:r>
      <w:r>
        <w:t>em</w:t>
      </w:r>
      <w:r w:rsidRPr="00E47417">
        <w:t xml:space="preserve"> Jamski</w:t>
      </w:r>
      <w:r>
        <w:t>m</w:t>
      </w:r>
      <w:r w:rsidRPr="00E47417">
        <w:t>, Zbigniew</w:t>
      </w:r>
      <w:r>
        <w:t>em</w:t>
      </w:r>
      <w:r w:rsidRPr="00E47417">
        <w:t xml:space="preserve"> Michalczyk</w:t>
      </w:r>
      <w:r>
        <w:t>iem</w:t>
      </w:r>
      <w:r w:rsidRPr="00E47417">
        <w:t xml:space="preserve"> i Marcin</w:t>
      </w:r>
      <w:r>
        <w:t>em</w:t>
      </w:r>
      <w:r w:rsidRPr="00E47417">
        <w:t xml:space="preserve"> Zgliński</w:t>
      </w:r>
      <w:r>
        <w:t>m</w:t>
      </w:r>
      <w:bookmarkEnd w:id="28"/>
    </w:p>
    <w:p w:rsidR="00E47417" w:rsidRPr="00E47417" w:rsidRDefault="00E47417" w:rsidP="00E47417">
      <w:pPr>
        <w:jc w:val="both"/>
        <w:rPr>
          <w:sz w:val="24"/>
        </w:rPr>
      </w:pPr>
      <w:r>
        <w:rPr>
          <w:sz w:val="24"/>
        </w:rPr>
        <w:t>A</w:t>
      </w:r>
      <w:r w:rsidRPr="00E47417">
        <w:rPr>
          <w:sz w:val="24"/>
        </w:rPr>
        <w:t>utorzy książki </w:t>
      </w:r>
      <w:r w:rsidRPr="00E47417">
        <w:rPr>
          <w:i/>
          <w:iCs/>
          <w:sz w:val="24"/>
        </w:rPr>
        <w:t>Architekt Aleksander Szymkiewicz (1858-1907)</w:t>
      </w:r>
      <w:r w:rsidRPr="00E47417">
        <w:rPr>
          <w:sz w:val="24"/>
        </w:rPr>
        <w:t> – </w:t>
      </w:r>
      <w:r w:rsidRPr="00E47417">
        <w:rPr>
          <w:i/>
          <w:iCs/>
          <w:sz w:val="24"/>
        </w:rPr>
        <w:t>szkic do biografii</w:t>
      </w:r>
      <w:r w:rsidRPr="00E47417">
        <w:rPr>
          <w:sz w:val="24"/>
        </w:rPr>
        <w:t>, opowiadając o życiu i twórczości urodzonego i wykształconego w Petersburgu, lecz czynnego przez ćwierć wieku w Gruzji architekta o polsko-niemiecko-szwedzkich korzeniach, zaprezentują casus twórcy funkcjonującego w wieloetnicznym i wielokulturowym, a zarazem scentralizowanym i zbiurokratyzowanym imperium. Na przykładzie działalności Szymkiewicza, paradoksalnie fascynującej w swej typowości, pokazać można drogi kariery urzędniczej w carskiej Rosji, omawiając przy tym strategie kolonialne w architekturze i kulturze przełomu XIX i XX w. Nie można wreszcie uniknąć pytania o tożsamość – tak ważkiego dla cyklu seminariów poświęconych kwestiom migracji. Ożeniony z Ormianką, w oczach współczesnych Rosjanin, choć w jego żyłach nie płynęła ani kropla krwi rosyjskiej, Szymkiewicz bywa dziś uznawany za Polaka, choć poza nazwiskiem z polskością zapewne nic go nie łączyło. Jak dziś o nim mówić?</w:t>
      </w:r>
    </w:p>
    <w:p w:rsidR="00E47417" w:rsidRDefault="00E47417" w:rsidP="005B40CF">
      <w:pPr>
        <w:jc w:val="right"/>
      </w:pPr>
    </w:p>
    <w:p w:rsidR="005B40CF" w:rsidRDefault="00E47417" w:rsidP="00E47417">
      <w:pPr>
        <w:jc w:val="right"/>
        <w:rPr>
          <w:bCs/>
        </w:rPr>
      </w:pPr>
      <w:r w:rsidRPr="00E47417">
        <w:rPr>
          <w:bCs/>
        </w:rPr>
        <w:t>(28 V 2024)</w:t>
      </w:r>
    </w:p>
    <w:p w:rsidR="00716ECF" w:rsidRDefault="00716ECF" w:rsidP="00E47417">
      <w:pPr>
        <w:jc w:val="right"/>
      </w:pPr>
    </w:p>
    <w:p w:rsidR="00716ECF" w:rsidRDefault="00716ECF" w:rsidP="00716ECF">
      <w:pPr>
        <w:pStyle w:val="Nagwek2"/>
      </w:pPr>
      <w:bookmarkStart w:id="29" w:name="_Toc178250036"/>
      <w:r>
        <w:t xml:space="preserve">Jolanta Guzy-Pasiak (IS PAN), </w:t>
      </w:r>
      <w:r w:rsidRPr="00481169">
        <w:rPr>
          <w:i/>
        </w:rPr>
        <w:t>Polscy kompozytorzy i</w:t>
      </w:r>
      <w:r w:rsidR="00481169" w:rsidRPr="00481169">
        <w:rPr>
          <w:i/>
        </w:rPr>
        <w:t> </w:t>
      </w:r>
      <w:r w:rsidRPr="00481169">
        <w:rPr>
          <w:i/>
        </w:rPr>
        <w:t xml:space="preserve">Międzynarodowe Towarzystwo Muzyki Współczesnej </w:t>
      </w:r>
      <w:r w:rsidR="00481169" w:rsidRPr="00481169">
        <w:rPr>
          <w:i/>
        </w:rPr>
        <w:t>w </w:t>
      </w:r>
      <w:r w:rsidRPr="00481169">
        <w:rPr>
          <w:i/>
        </w:rPr>
        <w:t>dwudziestoleciu międzywojennym</w:t>
      </w:r>
      <w:bookmarkEnd w:id="29"/>
    </w:p>
    <w:p w:rsidR="00716ECF" w:rsidRDefault="00716ECF" w:rsidP="00716ECF">
      <w:pPr>
        <w:jc w:val="right"/>
      </w:pPr>
    </w:p>
    <w:p w:rsidR="00716ECF" w:rsidRDefault="00716ECF" w:rsidP="00716ECF">
      <w:r>
        <w:t xml:space="preserve">W 1922 roku w Salzburgu powstało Międzynarodowe Towarzystwo Muzyki Współczesnej, pierwsza międzynarodowa organizacja promująca najnowszą muzykę i skupiająca kompozytorów, wykonawców i krytyków muzycznych. MTMW od początku istnienia organizowało w różnych krajach doroczny festiwal muzyczny, ważne forum wymiany idei i pomysłów, na którym wykonywano utwory młodych kompozytorów reprezentujących różnorodne kierunki i tendencje. </w:t>
      </w:r>
    </w:p>
    <w:p w:rsidR="00716ECF" w:rsidRDefault="00716ECF" w:rsidP="00716ECF">
      <w:r>
        <w:t>Polska dołączyła do MTMW w 1924, a pierwszym prezesem Polskiego Towarzystwa Muzyki Współczesnej został Karol Szymanowski. W stulecie istnienia PTMW warto przypomnieć obecność polskich kompozytorów na festiwalach Towarzystwa w pierwszym okresie jego działalności, do festiwalu w 1939 roku (który odbył się w Warszawie i Krakowie) i przyjrzeć się udziałowi naszych twórców w międzynarodowym ruchu muzyki współczesnej.</w:t>
      </w:r>
    </w:p>
    <w:p w:rsidR="00716ECF" w:rsidRDefault="00716ECF" w:rsidP="00716ECF"/>
    <w:p w:rsidR="00716ECF" w:rsidRDefault="00716ECF" w:rsidP="00716ECF">
      <w:pPr>
        <w:jc w:val="right"/>
      </w:pPr>
      <w:r>
        <w:t>(25 VI 2024)</w:t>
      </w:r>
    </w:p>
    <w:p w:rsidR="00014169" w:rsidRDefault="00014169" w:rsidP="00716ECF">
      <w:pPr>
        <w:jc w:val="right"/>
      </w:pPr>
    </w:p>
    <w:p w:rsidR="00014169" w:rsidRDefault="00014169" w:rsidP="00014169">
      <w:pPr>
        <w:pStyle w:val="Nagwek2"/>
      </w:pPr>
      <w:bookmarkStart w:id="30" w:name="_Toc178250037"/>
      <w:r>
        <w:t xml:space="preserve">Marek </w:t>
      </w:r>
      <w:proofErr w:type="spellStart"/>
      <w:r>
        <w:t>Zagańczyk</w:t>
      </w:r>
      <w:proofErr w:type="spellEnd"/>
      <w:r>
        <w:t xml:space="preserve">, </w:t>
      </w:r>
      <w:r w:rsidRPr="00014169">
        <w:t>Między emigracją a krajem – o  „Zeszytach Literackich”</w:t>
      </w:r>
      <w:bookmarkEnd w:id="30"/>
      <w:r w:rsidRPr="00014169">
        <w:t> </w:t>
      </w:r>
    </w:p>
    <w:p w:rsidR="00014169" w:rsidRDefault="00014169" w:rsidP="00014169"/>
    <w:p w:rsidR="00014169" w:rsidRDefault="00014169" w:rsidP="00014169">
      <w:r w:rsidRPr="00014169">
        <w:t xml:space="preserve"> Kwartalnik „Zeszyty Literackie” powstał w Paryżu w 1982 roku. Ostatni, 144. numer ukazał się w grudniu 2018 roku. Założycielką pisma i redaktorem naczelnym była Barbara </w:t>
      </w:r>
      <w:proofErr w:type="spellStart"/>
      <w:r w:rsidRPr="00014169">
        <w:t>Toruńczyk</w:t>
      </w:r>
      <w:proofErr w:type="spellEnd"/>
      <w:r w:rsidRPr="00014169">
        <w:t>. To ona stworzyła pismo, które stało się domem dla wielu pokoleń pisarzy; pismo rozpięte między krajem a emigracją, między tym, co dawne, osadzone w tradycji, a tym, co dopiero kiełkuje, staje się na naszych oczach. „Zeszyty Literackie” łączyły literaturę polską i obcą, podążały zawsze za tym, co najmocniejsze, co warte przekazania i zapamiętania. Były domeną myśli swobodnej, przekraczającej granice państw, a zarazem nie poddające się kulturowym modom. Jak pisał Adam Zagajewski były dla tych, „co nie wyrzekając się wcale swych korzeni, swych prowincjonalnych genealogii, szukali jednocześnie adresu bardziej uniwersalnego, […] wyobraźni wielkodusznej i wykształconej, zrozumienia Historii i Sztuki”.</w:t>
      </w:r>
      <w:r w:rsidRPr="00014169">
        <w:br/>
      </w:r>
      <w:r w:rsidRPr="00014169">
        <w:br/>
        <w:t>O „Zeszytach Literackich”, o roli tego pisma, o jego wyjątkowym charakterze opowie </w:t>
      </w:r>
      <w:r w:rsidRPr="00014169">
        <w:rPr>
          <w:bCs/>
        </w:rPr>
        <w:t xml:space="preserve">Marek </w:t>
      </w:r>
      <w:proofErr w:type="spellStart"/>
      <w:r w:rsidRPr="00014169">
        <w:rPr>
          <w:bCs/>
        </w:rPr>
        <w:t>Zagańczyk</w:t>
      </w:r>
      <w:proofErr w:type="spellEnd"/>
      <w:r w:rsidRPr="00014169">
        <w:t>, wieloletni zastępca redaktora naczelnego tego pisma.</w:t>
      </w:r>
    </w:p>
    <w:p w:rsidR="00014169" w:rsidRDefault="00014169" w:rsidP="00014169"/>
    <w:p w:rsidR="00014169" w:rsidRDefault="00014169" w:rsidP="00014169">
      <w:pPr>
        <w:jc w:val="right"/>
      </w:pPr>
      <w:r>
        <w:t>(29 X 2024)</w:t>
      </w:r>
    </w:p>
    <w:p w:rsidR="00FB16FA" w:rsidRDefault="00FB16FA" w:rsidP="00014169">
      <w:pPr>
        <w:jc w:val="right"/>
      </w:pPr>
    </w:p>
    <w:p w:rsidR="00FB16FA" w:rsidRDefault="00FB16FA" w:rsidP="00FB16FA">
      <w:pPr>
        <w:pStyle w:val="Nagwek2"/>
      </w:pPr>
      <w:bookmarkStart w:id="31" w:name="_Toc178250038"/>
      <w:r>
        <w:t xml:space="preserve">Agnieszka Nowok-Zych, </w:t>
      </w:r>
      <w:r w:rsidR="00D76C37" w:rsidRPr="00D76C37">
        <w:t> </w:t>
      </w:r>
      <w:r w:rsidR="00D76C37" w:rsidRPr="00D76C37">
        <w:rPr>
          <w:i/>
          <w:iCs/>
        </w:rPr>
        <w:t xml:space="preserve">Twórcy (z) pogranicza. Mieczysław </w:t>
      </w:r>
      <w:proofErr w:type="spellStart"/>
      <w:r w:rsidR="00D76C37" w:rsidRPr="00D76C37">
        <w:rPr>
          <w:i/>
          <w:iCs/>
        </w:rPr>
        <w:t>Wajnberg</w:t>
      </w:r>
      <w:proofErr w:type="spellEnd"/>
      <w:r w:rsidR="00D76C37" w:rsidRPr="00D76C37">
        <w:rPr>
          <w:i/>
          <w:iCs/>
        </w:rPr>
        <w:t xml:space="preserve"> i Julian Tuwim</w:t>
      </w:r>
      <w:bookmarkStart w:id="32" w:name="_GoBack"/>
      <w:bookmarkEnd w:id="31"/>
      <w:bookmarkEnd w:id="32"/>
    </w:p>
    <w:p w:rsidR="00FB16FA" w:rsidRDefault="00FB16FA" w:rsidP="00FB16FA"/>
    <w:p w:rsidR="00FB16FA" w:rsidRPr="00FB16FA" w:rsidRDefault="00FB16FA" w:rsidP="00FB16FA">
      <w:r w:rsidRPr="00FB16FA">
        <w:lastRenderedPageBreak/>
        <w:t xml:space="preserve">Muzyka Mieczysława </w:t>
      </w:r>
      <w:proofErr w:type="spellStart"/>
      <w:r w:rsidRPr="00FB16FA">
        <w:t>Wajnberga</w:t>
      </w:r>
      <w:proofErr w:type="spellEnd"/>
      <w:r w:rsidRPr="00FB16FA">
        <w:t xml:space="preserve"> w ostatnich latach szczęśliwie przeżywa swój zasłużony renesans.</w:t>
      </w:r>
    </w:p>
    <w:p w:rsidR="00FB16FA" w:rsidRDefault="00FB16FA" w:rsidP="00FB16FA">
      <w:pPr>
        <w:jc w:val="both"/>
      </w:pPr>
      <w:r w:rsidRPr="00FB16FA">
        <w:t xml:space="preserve">Niezwykle celnie „twórcą z trzech światów” określiła kompozytora Danuta </w:t>
      </w:r>
      <w:proofErr w:type="spellStart"/>
      <w:r w:rsidRPr="00FB16FA">
        <w:t>Gwizdalanka</w:t>
      </w:r>
      <w:proofErr w:type="spellEnd"/>
      <w:r w:rsidRPr="00FB16FA">
        <w:t xml:space="preserve">, autorka jego polskiej monografii. Urodzony w Warszawie w rodzinie żydowskiej, zmuszony był uciekać z kraju w czasie II wojny światowej; ostatecznie </w:t>
      </w:r>
      <w:proofErr w:type="spellStart"/>
      <w:r w:rsidRPr="00FB16FA">
        <w:t>Wajnberg</w:t>
      </w:r>
      <w:proofErr w:type="spellEnd"/>
      <w:r w:rsidRPr="00FB16FA">
        <w:t xml:space="preserve"> osiadł w Moskwie, gdzie pozostał już do końca swojego życia. W jego twórczości wokalno-instrumentalnej odnajdziemy wiele dzieł pisanych do tekstów polskich poetów, na których tle </w:t>
      </w:r>
      <w:proofErr w:type="spellStart"/>
      <w:r w:rsidRPr="00FB16FA">
        <w:t>Wajnberg</w:t>
      </w:r>
      <w:proofErr w:type="spellEnd"/>
      <w:r w:rsidRPr="00FB16FA">
        <w:t xml:space="preserve"> w sposób szczególny wyróżnił Juliana Tuwima. Nie tylko cenił kunszt łódzkiego literata, ale nade wszystko odczuwał z nim wspólnotę życiowych doświadczeń i artystycznych idei. Hybrydyczna tożsamość, los emigranta, utrata bliskich w czasie Holocaustu... to tylko niektóre styczne, łączące życiowe tory wymienionych twórców. Znamiennym jest również, iż po swojej jedynej (rozczarowującej dlań) wizycie w kraju – podczas „Warszawskiej Jesieni” w 1966 roku – </w:t>
      </w:r>
      <w:proofErr w:type="spellStart"/>
      <w:r w:rsidRPr="00FB16FA">
        <w:t>Wajnberg</w:t>
      </w:r>
      <w:proofErr w:type="spellEnd"/>
      <w:r w:rsidRPr="00FB16FA">
        <w:t xml:space="preserve"> jeszcze tylko jeden raz sięgnął po teksty Juliana Tuwima w swojej IX Symfonii „Wiersze ocalałe” op. 93. Autorka pragnie podążyć z Państwem tropem życia i twórczości </w:t>
      </w:r>
      <w:proofErr w:type="spellStart"/>
      <w:r w:rsidRPr="00FB16FA">
        <w:t>Wajnberga</w:t>
      </w:r>
      <w:proofErr w:type="spellEnd"/>
      <w:r w:rsidRPr="00FB16FA">
        <w:t xml:space="preserve"> w kontekście osoby i działalności artystycznej Juliana Tuwima.   </w:t>
      </w:r>
    </w:p>
    <w:p w:rsidR="00FB16FA" w:rsidRDefault="00FB16FA" w:rsidP="00FB16FA">
      <w:pPr>
        <w:jc w:val="both"/>
      </w:pPr>
    </w:p>
    <w:p w:rsidR="00FB16FA" w:rsidRPr="00FB16FA" w:rsidRDefault="00FB16FA" w:rsidP="00FB16FA">
      <w:pPr>
        <w:jc w:val="right"/>
      </w:pPr>
      <w:r>
        <w:t>(26 XI 2024)</w:t>
      </w:r>
    </w:p>
    <w:p w:rsidR="00FB16FA" w:rsidRPr="00E47417" w:rsidRDefault="00FB16FA" w:rsidP="00FB16FA">
      <w:pPr>
        <w:jc w:val="both"/>
      </w:pPr>
    </w:p>
    <w:sectPr w:rsidR="00FB16FA" w:rsidRPr="00E47417" w:rsidSect="0052196B">
      <w:headerReference w:type="default" r:id="rId8"/>
      <w:footerReference w:type="default" r:id="rId9"/>
      <w:pgSz w:w="11906" w:h="16838" w:code="9"/>
      <w:pgMar w:top="1440" w:right="1440" w:bottom="1440" w:left="1440" w:header="288"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5749" w:rsidRDefault="00CC5749">
      <w:pPr>
        <w:spacing w:line="240" w:lineRule="auto"/>
      </w:pPr>
      <w:r>
        <w:separator/>
      </w:r>
    </w:p>
  </w:endnote>
  <w:endnote w:type="continuationSeparator" w:id="0">
    <w:p w:rsidR="00CC5749" w:rsidRDefault="00CC5749">
      <w:pPr>
        <w:spacing w:line="240" w:lineRule="auto"/>
      </w:pPr>
      <w:r>
        <w:continuationSeparator/>
      </w:r>
    </w:p>
  </w:endnote>
  <w:endnote w:type="continuationNotice" w:id="1">
    <w:p w:rsidR="00CC5749" w:rsidRDefault="00CC5749">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Light">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Corbel-Bold">
    <w:altName w:val="Times New Roman"/>
    <w:panose1 w:val="00000000000000000000"/>
    <w:charset w:val="00"/>
    <w:family w:val="roman"/>
    <w:notTrueType/>
    <w:pitch w:val="default"/>
  </w:font>
  <w:font w:name="Corbel">
    <w:panose1 w:val="020B0503020204020204"/>
    <w:charset w:val="EE"/>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183" w:rsidRDefault="008C2183">
    <w:pPr>
      <w:pBdr>
        <w:left w:val="single" w:sz="12" w:space="11" w:color="5B9BD5" w:themeColor="accent1"/>
      </w:pBdr>
      <w:tabs>
        <w:tab w:val="left" w:pos="622"/>
      </w:tabs>
      <w:rPr>
        <w:rFonts w:asciiTheme="majorHAnsi" w:eastAsiaTheme="majorEastAsia" w:hAnsiTheme="majorHAnsi" w:cstheme="majorBidi"/>
        <w:color w:val="2E74B5" w:themeColor="accent1" w:themeShade="BF"/>
        <w:sz w:val="26"/>
        <w:szCs w:val="26"/>
      </w:rPr>
    </w:pPr>
    <w:r>
      <w:rPr>
        <w:rFonts w:asciiTheme="majorHAnsi" w:eastAsiaTheme="majorEastAsia" w:hAnsiTheme="majorHAnsi" w:cstheme="majorBidi"/>
        <w:color w:val="2E74B5" w:themeColor="accent1" w:themeShade="BF"/>
        <w:sz w:val="26"/>
        <w:szCs w:val="26"/>
      </w:rPr>
      <w:fldChar w:fldCharType="begin"/>
    </w:r>
    <w:r>
      <w:rPr>
        <w:rFonts w:asciiTheme="majorHAnsi" w:eastAsiaTheme="majorEastAsia" w:hAnsiTheme="majorHAnsi" w:cstheme="majorBidi"/>
        <w:color w:val="2E74B5" w:themeColor="accent1" w:themeShade="BF"/>
        <w:sz w:val="26"/>
        <w:szCs w:val="26"/>
      </w:rPr>
      <w:instrText>PAGE   \* MERGEFORMAT</w:instrText>
    </w:r>
    <w:r>
      <w:rPr>
        <w:rFonts w:asciiTheme="majorHAnsi" w:eastAsiaTheme="majorEastAsia" w:hAnsiTheme="majorHAnsi" w:cstheme="majorBidi"/>
        <w:color w:val="2E74B5" w:themeColor="accent1" w:themeShade="BF"/>
        <w:sz w:val="26"/>
        <w:szCs w:val="26"/>
      </w:rPr>
      <w:fldChar w:fldCharType="separate"/>
    </w:r>
    <w:r>
      <w:rPr>
        <w:rFonts w:asciiTheme="majorHAnsi" w:eastAsiaTheme="majorEastAsia" w:hAnsiTheme="majorHAnsi" w:cstheme="majorBidi"/>
        <w:noProof/>
        <w:color w:val="2E74B5" w:themeColor="accent1" w:themeShade="BF"/>
        <w:sz w:val="26"/>
        <w:szCs w:val="26"/>
      </w:rPr>
      <w:t>4</w:t>
    </w:r>
    <w:r>
      <w:rPr>
        <w:rFonts w:asciiTheme="majorHAnsi" w:eastAsiaTheme="majorEastAsia" w:hAnsiTheme="majorHAnsi" w:cstheme="majorBidi"/>
        <w:color w:val="2E74B5" w:themeColor="accent1" w:themeShade="BF"/>
        <w:sz w:val="26"/>
        <w:szCs w:val="26"/>
      </w:rPr>
      <w:fldChar w:fldCharType="end"/>
    </w:r>
  </w:p>
  <w:p w:rsidR="008C2183" w:rsidRPr="00C70628" w:rsidRDefault="008C2183">
    <w:pPr>
      <w:pStyle w:val="Stopk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5749" w:rsidRDefault="00CC5749">
      <w:pPr>
        <w:spacing w:line="240" w:lineRule="auto"/>
      </w:pPr>
      <w:r>
        <w:separator/>
      </w:r>
    </w:p>
  </w:footnote>
  <w:footnote w:type="continuationSeparator" w:id="0">
    <w:p w:rsidR="00CC5749" w:rsidRDefault="00CC5749">
      <w:pPr>
        <w:spacing w:line="240" w:lineRule="auto"/>
      </w:pPr>
      <w:r>
        <w:continuationSeparator/>
      </w:r>
    </w:p>
  </w:footnote>
  <w:footnote w:type="continuationNotice" w:id="1">
    <w:p w:rsidR="00CC5749" w:rsidRDefault="00CC5749">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183" w:rsidRDefault="008C2183">
    <w:pPr>
      <w:pStyle w:val="Nagwek"/>
      <w:jc w:val="right"/>
      <w:rPr>
        <w:color w:val="5B9BD5" w:themeColor="accent1"/>
      </w:rPr>
    </w:pPr>
    <w:sdt>
      <w:sdtPr>
        <w:rPr>
          <w:color w:val="5B9BD5" w:themeColor="accent1"/>
        </w:rPr>
        <w:alias w:val="Tytuł"/>
        <w:tag w:val=""/>
        <w:id w:val="664756013"/>
        <w:placeholder>
          <w:docPart w:val="58F32D9B0DFD4F11B0D5D52AD6B4B3A1"/>
        </w:placeholder>
        <w:dataBinding w:prefixMappings="xmlns:ns0='http://purl.org/dc/elements/1.1/' xmlns:ns1='http://schemas.openxmlformats.org/package/2006/metadata/core-properties' " w:xpath="/ns1:coreProperties[1]/ns0:title[1]" w:storeItemID="{6C3C8BC8-F283-45AE-878A-BAB7291924A1}"/>
        <w:text/>
      </w:sdtPr>
      <w:sdtContent>
        <w:r w:rsidRPr="0040436A">
          <w:rPr>
            <w:color w:val="5B9BD5" w:themeColor="accent1"/>
          </w:rPr>
          <w:t>Migracje artystyczne w XIX, XX i XXI wieku</w:t>
        </w:r>
      </w:sdtContent>
    </w:sdt>
    <w:r>
      <w:rPr>
        <w:color w:val="5B9BD5" w:themeColor="accent1"/>
      </w:rPr>
      <w:t xml:space="preserve"> | </w:t>
    </w:r>
    <w:sdt>
      <w:sdtPr>
        <w:rPr>
          <w:color w:val="5B9BD5" w:themeColor="accent1"/>
        </w:rPr>
        <w:alias w:val="Autor"/>
        <w:tag w:val=""/>
        <w:id w:val="-1677181147"/>
        <w:placeholder>
          <w:docPart w:val="7DC5382A64CC48FB9AEB1417182BADA6"/>
        </w:placeholder>
        <w:showingPlcHdr/>
        <w:dataBinding w:prefixMappings="xmlns:ns0='http://purl.org/dc/elements/1.1/' xmlns:ns1='http://schemas.openxmlformats.org/package/2006/metadata/core-properties' " w:xpath="/ns1:coreProperties[1]/ns0:creator[1]" w:storeItemID="{6C3C8BC8-F283-45AE-878A-BAB7291924A1}"/>
        <w:text/>
      </w:sdtPr>
      <w:sdtContent>
        <w:r>
          <w:t>[Nazwisko autora]</w:t>
        </w:r>
      </w:sdtContent>
    </w:sdt>
  </w:p>
  <w:p w:rsidR="008C2183" w:rsidRDefault="008C218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245F38"/>
    <w:lvl w:ilvl="0">
      <w:start w:val="1"/>
      <w:numFmt w:val="decimal"/>
      <w:pStyle w:val="Listanumerowana5"/>
      <w:lvlText w:val="%1."/>
      <w:lvlJc w:val="left"/>
      <w:pPr>
        <w:tabs>
          <w:tab w:val="num" w:pos="1800"/>
        </w:tabs>
        <w:ind w:left="1800" w:hanging="360"/>
      </w:pPr>
    </w:lvl>
  </w:abstractNum>
  <w:abstractNum w:abstractNumId="1" w15:restartNumberingAfterBreak="0">
    <w:nsid w:val="FFFFFF7D"/>
    <w:multiLevelType w:val="singleLevel"/>
    <w:tmpl w:val="8864F08A"/>
    <w:lvl w:ilvl="0">
      <w:start w:val="1"/>
      <w:numFmt w:val="decimal"/>
      <w:pStyle w:val="Listanumerowana4"/>
      <w:lvlText w:val="%1."/>
      <w:lvlJc w:val="left"/>
      <w:pPr>
        <w:tabs>
          <w:tab w:val="num" w:pos="1440"/>
        </w:tabs>
        <w:ind w:left="1440" w:hanging="360"/>
      </w:pPr>
    </w:lvl>
  </w:abstractNum>
  <w:abstractNum w:abstractNumId="2" w15:restartNumberingAfterBreak="0">
    <w:nsid w:val="FFFFFF7E"/>
    <w:multiLevelType w:val="singleLevel"/>
    <w:tmpl w:val="4B9C1270"/>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C6A42210"/>
    <w:lvl w:ilvl="0">
      <w:start w:val="1"/>
      <w:numFmt w:val="decimal"/>
      <w:pStyle w:val="Listanumerowana2"/>
      <w:lvlText w:val="%1."/>
      <w:lvlJc w:val="left"/>
      <w:pPr>
        <w:tabs>
          <w:tab w:val="num" w:pos="720"/>
        </w:tabs>
        <w:ind w:left="720" w:hanging="360"/>
      </w:pPr>
    </w:lvl>
  </w:abstractNum>
  <w:abstractNum w:abstractNumId="4" w15:restartNumberingAfterBreak="0">
    <w:nsid w:val="FFFFFF80"/>
    <w:multiLevelType w:val="singleLevel"/>
    <w:tmpl w:val="A72242B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E32A878"/>
    <w:lvl w:ilvl="0">
      <w:start w:val="1"/>
      <w:numFmt w:val="bullet"/>
      <w:pStyle w:val="Listapunktowana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1B85B80"/>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D6270F2"/>
    <w:lvl w:ilvl="0">
      <w:start w:val="1"/>
      <w:numFmt w:val="bullet"/>
      <w:pStyle w:val="Listapunktowana2"/>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907A257A"/>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03E17484"/>
    <w:multiLevelType w:val="multilevel"/>
    <w:tmpl w:val="8BFC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2D72B8"/>
    <w:multiLevelType w:val="hybridMultilevel"/>
    <w:tmpl w:val="B2BA0D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D24B74"/>
    <w:multiLevelType w:val="multilevel"/>
    <w:tmpl w:val="EBB2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761A7D"/>
    <w:multiLevelType w:val="hybridMultilevel"/>
    <w:tmpl w:val="A90CCC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3411C1C"/>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E77534"/>
    <w:multiLevelType w:val="hybridMultilevel"/>
    <w:tmpl w:val="49827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2E32C8"/>
    <w:multiLevelType w:val="hybridMultilevel"/>
    <w:tmpl w:val="B8CAAA0E"/>
    <w:lvl w:ilvl="0" w:tplc="52C4B0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AF656CA"/>
    <w:multiLevelType w:val="hybridMultilevel"/>
    <w:tmpl w:val="1C067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6E0D25"/>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2A268C"/>
    <w:multiLevelType w:val="multilevel"/>
    <w:tmpl w:val="EE60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1243D5"/>
    <w:multiLevelType w:val="multilevel"/>
    <w:tmpl w:val="22404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A4C77C6"/>
    <w:multiLevelType w:val="multilevel"/>
    <w:tmpl w:val="FA005712"/>
    <w:lvl w:ilvl="0">
      <w:start w:val="1"/>
      <w:numFmt w:val="decimal"/>
      <w:pStyle w:val="Listanumerowana"/>
      <w:lvlText w:val="%1."/>
      <w:lvlJc w:val="left"/>
      <w:pPr>
        <w:ind w:left="792" w:hanging="360"/>
      </w:pPr>
      <w:rPr>
        <w:rFonts w:hint="default"/>
        <w:b/>
        <w:color w:val="2B579A"/>
        <w:sz w:val="28"/>
        <w:szCs w:val="28"/>
      </w:rPr>
    </w:lvl>
    <w:lvl w:ilvl="1">
      <w:start w:val="1"/>
      <w:numFmt w:val="lowerLetter"/>
      <w:lvlText w:val="%2."/>
      <w:lvlJc w:val="left"/>
      <w:pPr>
        <w:ind w:left="1512" w:hanging="360"/>
      </w:pPr>
      <w:rPr>
        <w:rFonts w:hint="default"/>
      </w:rPr>
    </w:lvl>
    <w:lvl w:ilvl="2">
      <w:start w:val="1"/>
      <w:numFmt w:val="lowerRoman"/>
      <w:lvlText w:val="%3."/>
      <w:lvlJc w:val="right"/>
      <w:pPr>
        <w:ind w:left="2232" w:hanging="360"/>
      </w:pPr>
      <w:rPr>
        <w:rFonts w:hint="default"/>
      </w:rPr>
    </w:lvl>
    <w:lvl w:ilvl="3">
      <w:start w:val="1"/>
      <w:numFmt w:val="decimal"/>
      <w:lvlText w:val="%4."/>
      <w:lvlJc w:val="left"/>
      <w:pPr>
        <w:ind w:left="2952" w:hanging="360"/>
      </w:pPr>
      <w:rPr>
        <w:rFonts w:hint="default"/>
      </w:rPr>
    </w:lvl>
    <w:lvl w:ilvl="4">
      <w:start w:val="1"/>
      <w:numFmt w:val="lowerLetter"/>
      <w:lvlText w:val="%5."/>
      <w:lvlJc w:val="left"/>
      <w:pPr>
        <w:ind w:left="3672" w:hanging="360"/>
      </w:pPr>
      <w:rPr>
        <w:rFonts w:hint="default"/>
      </w:rPr>
    </w:lvl>
    <w:lvl w:ilvl="5">
      <w:start w:val="1"/>
      <w:numFmt w:val="lowerRoman"/>
      <w:lvlText w:val="%6."/>
      <w:lvlJc w:val="right"/>
      <w:pPr>
        <w:ind w:left="4392" w:hanging="360"/>
      </w:pPr>
      <w:rPr>
        <w:rFonts w:hint="default"/>
      </w:rPr>
    </w:lvl>
    <w:lvl w:ilvl="6">
      <w:start w:val="1"/>
      <w:numFmt w:val="decimal"/>
      <w:lvlText w:val="%7."/>
      <w:lvlJc w:val="left"/>
      <w:pPr>
        <w:ind w:left="5112" w:hanging="360"/>
      </w:pPr>
      <w:rPr>
        <w:rFonts w:hint="default"/>
      </w:rPr>
    </w:lvl>
    <w:lvl w:ilvl="7">
      <w:start w:val="1"/>
      <w:numFmt w:val="lowerLetter"/>
      <w:lvlText w:val="%8."/>
      <w:lvlJc w:val="left"/>
      <w:pPr>
        <w:ind w:left="5832" w:hanging="360"/>
      </w:pPr>
      <w:rPr>
        <w:rFonts w:hint="default"/>
      </w:rPr>
    </w:lvl>
    <w:lvl w:ilvl="8">
      <w:start w:val="1"/>
      <w:numFmt w:val="lowerRoman"/>
      <w:lvlText w:val="%9."/>
      <w:lvlJc w:val="right"/>
      <w:pPr>
        <w:ind w:left="6552" w:hanging="360"/>
      </w:pPr>
      <w:rPr>
        <w:rFonts w:hint="default"/>
      </w:rPr>
    </w:lvl>
  </w:abstractNum>
  <w:abstractNum w:abstractNumId="21" w15:restartNumberingAfterBreak="0">
    <w:nsid w:val="7AE569B2"/>
    <w:multiLevelType w:val="multilevel"/>
    <w:tmpl w:val="04090023"/>
    <w:styleLink w:val="Artykusekcja"/>
    <w:lvl w:ilvl="0">
      <w:start w:val="1"/>
      <w:numFmt w:val="upperRoman"/>
      <w:lvlText w:val="Article %1."/>
      <w:lvlJc w:val="left"/>
      <w:pPr>
        <w:ind w:left="0" w:firstLine="0"/>
      </w:pPr>
      <w:rPr>
        <w:rFonts w:ascii="Times New Roman" w:hAnsi="Times New Roman" w:cs="Times New Roman"/>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7C226EBA"/>
    <w:multiLevelType w:val="multilevel"/>
    <w:tmpl w:val="4E58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0"/>
    <w:lvlOverride w:ilvl="0">
      <w:startOverride w:val="1"/>
    </w:lvlOverride>
  </w:num>
  <w:num w:numId="3">
    <w:abstractNumId w:val="20"/>
  </w:num>
  <w:num w:numId="4">
    <w:abstractNumId w:val="20"/>
    <w:lvlOverride w:ilvl="0">
      <w:startOverride w:val="1"/>
    </w:lvlOverride>
  </w:num>
  <w:num w:numId="5">
    <w:abstractNumId w:val="8"/>
  </w:num>
  <w:num w:numId="6">
    <w:abstractNumId w:val="20"/>
    <w:lvlOverride w:ilvl="0">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6"/>
  </w:num>
  <w:num w:numId="13">
    <w:abstractNumId w:val="5"/>
  </w:num>
  <w:num w:numId="14">
    <w:abstractNumId w:val="4"/>
  </w:num>
  <w:num w:numId="15">
    <w:abstractNumId w:val="3"/>
  </w:num>
  <w:num w:numId="16">
    <w:abstractNumId w:val="2"/>
  </w:num>
  <w:num w:numId="17">
    <w:abstractNumId w:val="1"/>
  </w:num>
  <w:num w:numId="18">
    <w:abstractNumId w:val="0"/>
  </w:num>
  <w:num w:numId="19">
    <w:abstractNumId w:val="22"/>
  </w:num>
  <w:num w:numId="20">
    <w:abstractNumId w:val="9"/>
  </w:num>
  <w:num w:numId="21">
    <w:abstractNumId w:val="19"/>
  </w:num>
  <w:num w:numId="22">
    <w:abstractNumId w:val="18"/>
  </w:num>
  <w:num w:numId="23">
    <w:abstractNumId w:val="16"/>
  </w:num>
  <w:num w:numId="24">
    <w:abstractNumId w:val="14"/>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7"/>
  </w:num>
  <w:num w:numId="36">
    <w:abstractNumId w:val="21"/>
  </w:num>
  <w:num w:numId="37">
    <w:abstractNumId w:val="10"/>
  </w:num>
  <w:num w:numId="38">
    <w:abstractNumId w:val="12"/>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2"/>
  <w:removePersonalInformation/>
  <w:removeDateAndTime/>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pl-PL" w:vendorID="64" w:dllVersion="0" w:nlCheck="1" w:checkStyle="0"/>
  <w:proofState w:spelling="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454"/>
    <w:rsid w:val="00014169"/>
    <w:rsid w:val="00016748"/>
    <w:rsid w:val="000368F0"/>
    <w:rsid w:val="0006567E"/>
    <w:rsid w:val="000760DB"/>
    <w:rsid w:val="00084476"/>
    <w:rsid w:val="000A1CBE"/>
    <w:rsid w:val="000D0CD9"/>
    <w:rsid w:val="000E313F"/>
    <w:rsid w:val="000F00E7"/>
    <w:rsid w:val="00106375"/>
    <w:rsid w:val="001574A0"/>
    <w:rsid w:val="0016766E"/>
    <w:rsid w:val="00170063"/>
    <w:rsid w:val="00175643"/>
    <w:rsid w:val="00187FC9"/>
    <w:rsid w:val="00197D8A"/>
    <w:rsid w:val="001B2338"/>
    <w:rsid w:val="001C5DE9"/>
    <w:rsid w:val="001D2EC3"/>
    <w:rsid w:val="001D556A"/>
    <w:rsid w:val="002061A9"/>
    <w:rsid w:val="00217B64"/>
    <w:rsid w:val="00235579"/>
    <w:rsid w:val="00257FAA"/>
    <w:rsid w:val="00263938"/>
    <w:rsid w:val="002B4EC9"/>
    <w:rsid w:val="002E78EB"/>
    <w:rsid w:val="002F0C36"/>
    <w:rsid w:val="002F25A8"/>
    <w:rsid w:val="003168FB"/>
    <w:rsid w:val="0032745B"/>
    <w:rsid w:val="003407A9"/>
    <w:rsid w:val="00340DC9"/>
    <w:rsid w:val="00350BD5"/>
    <w:rsid w:val="003B1CFF"/>
    <w:rsid w:val="004041B3"/>
    <w:rsid w:val="00423585"/>
    <w:rsid w:val="004406BA"/>
    <w:rsid w:val="00444F02"/>
    <w:rsid w:val="00461760"/>
    <w:rsid w:val="00481169"/>
    <w:rsid w:val="00490CC6"/>
    <w:rsid w:val="004B1F9B"/>
    <w:rsid w:val="004E1C8A"/>
    <w:rsid w:val="004F05F9"/>
    <w:rsid w:val="004F5368"/>
    <w:rsid w:val="004F6481"/>
    <w:rsid w:val="0052196B"/>
    <w:rsid w:val="00546E24"/>
    <w:rsid w:val="005509B2"/>
    <w:rsid w:val="005556DB"/>
    <w:rsid w:val="00586F1D"/>
    <w:rsid w:val="005B40CF"/>
    <w:rsid w:val="005B7585"/>
    <w:rsid w:val="005C6D45"/>
    <w:rsid w:val="005D58F7"/>
    <w:rsid w:val="00601002"/>
    <w:rsid w:val="0061638B"/>
    <w:rsid w:val="00617D63"/>
    <w:rsid w:val="00625976"/>
    <w:rsid w:val="00627454"/>
    <w:rsid w:val="00643D1A"/>
    <w:rsid w:val="00662706"/>
    <w:rsid w:val="00674588"/>
    <w:rsid w:val="006A7B57"/>
    <w:rsid w:val="006B7A6C"/>
    <w:rsid w:val="006D44C5"/>
    <w:rsid w:val="00712217"/>
    <w:rsid w:val="00713672"/>
    <w:rsid w:val="00716ECF"/>
    <w:rsid w:val="0073562D"/>
    <w:rsid w:val="00736FDC"/>
    <w:rsid w:val="00742056"/>
    <w:rsid w:val="007430A8"/>
    <w:rsid w:val="00746EDD"/>
    <w:rsid w:val="00753D34"/>
    <w:rsid w:val="00794C12"/>
    <w:rsid w:val="007B07DE"/>
    <w:rsid w:val="007B305B"/>
    <w:rsid w:val="008270A2"/>
    <w:rsid w:val="00827F26"/>
    <w:rsid w:val="00853F77"/>
    <w:rsid w:val="00863E2E"/>
    <w:rsid w:val="00873883"/>
    <w:rsid w:val="00885CE1"/>
    <w:rsid w:val="008907FF"/>
    <w:rsid w:val="00895090"/>
    <w:rsid w:val="008B696C"/>
    <w:rsid w:val="008B6BEE"/>
    <w:rsid w:val="008C2183"/>
    <w:rsid w:val="008D6A42"/>
    <w:rsid w:val="008F332C"/>
    <w:rsid w:val="008F78D7"/>
    <w:rsid w:val="00901BA0"/>
    <w:rsid w:val="009131E2"/>
    <w:rsid w:val="009200C1"/>
    <w:rsid w:val="00980085"/>
    <w:rsid w:val="00997127"/>
    <w:rsid w:val="009D216F"/>
    <w:rsid w:val="009D3248"/>
    <w:rsid w:val="00A10689"/>
    <w:rsid w:val="00A44D81"/>
    <w:rsid w:val="00A471FE"/>
    <w:rsid w:val="00A65E8A"/>
    <w:rsid w:val="00A75C6F"/>
    <w:rsid w:val="00A87896"/>
    <w:rsid w:val="00AA7D46"/>
    <w:rsid w:val="00AC1EE7"/>
    <w:rsid w:val="00AC2972"/>
    <w:rsid w:val="00B650C6"/>
    <w:rsid w:val="00B9418D"/>
    <w:rsid w:val="00BA63C2"/>
    <w:rsid w:val="00BC6939"/>
    <w:rsid w:val="00BD0BC4"/>
    <w:rsid w:val="00BE1875"/>
    <w:rsid w:val="00BE45C8"/>
    <w:rsid w:val="00BF2331"/>
    <w:rsid w:val="00BF7463"/>
    <w:rsid w:val="00C02AB0"/>
    <w:rsid w:val="00C05754"/>
    <w:rsid w:val="00C30889"/>
    <w:rsid w:val="00C37E18"/>
    <w:rsid w:val="00C417BF"/>
    <w:rsid w:val="00C52041"/>
    <w:rsid w:val="00C548D2"/>
    <w:rsid w:val="00C62275"/>
    <w:rsid w:val="00C70628"/>
    <w:rsid w:val="00C90A2E"/>
    <w:rsid w:val="00C91943"/>
    <w:rsid w:val="00CC5749"/>
    <w:rsid w:val="00CC5861"/>
    <w:rsid w:val="00CD430C"/>
    <w:rsid w:val="00D05A0C"/>
    <w:rsid w:val="00D27496"/>
    <w:rsid w:val="00D30B81"/>
    <w:rsid w:val="00D3649E"/>
    <w:rsid w:val="00D444F9"/>
    <w:rsid w:val="00D65327"/>
    <w:rsid w:val="00D76C37"/>
    <w:rsid w:val="00DB5195"/>
    <w:rsid w:val="00DF0FDA"/>
    <w:rsid w:val="00E14010"/>
    <w:rsid w:val="00E142DA"/>
    <w:rsid w:val="00E16F51"/>
    <w:rsid w:val="00E42184"/>
    <w:rsid w:val="00E47417"/>
    <w:rsid w:val="00E8361C"/>
    <w:rsid w:val="00E93044"/>
    <w:rsid w:val="00EB0B6E"/>
    <w:rsid w:val="00EC7072"/>
    <w:rsid w:val="00EE1C14"/>
    <w:rsid w:val="00EE70C1"/>
    <w:rsid w:val="00F169E1"/>
    <w:rsid w:val="00F74E8F"/>
    <w:rsid w:val="00F75319"/>
    <w:rsid w:val="00F77B79"/>
    <w:rsid w:val="00F85A32"/>
    <w:rsid w:val="00F866A8"/>
    <w:rsid w:val="00FB16FA"/>
    <w:rsid w:val="00FB35C9"/>
    <w:rsid w:val="00FB5B59"/>
    <w:rsid w:val="00FC318F"/>
    <w:rsid w:val="00FC48C0"/>
    <w:rsid w:val="00FD1D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7EFFD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egoe UI" w:eastAsia="Segoe UI" w:hAnsi="Segoe U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D430C"/>
    <w:pPr>
      <w:spacing w:before="160" w:line="228" w:lineRule="auto"/>
    </w:pPr>
    <w:rPr>
      <w:rFonts w:ascii="Calibri Light" w:hAnsi="Calibri Light" w:cs="Segoe UI"/>
      <w:sz w:val="22"/>
      <w:szCs w:val="22"/>
      <w:lang w:eastAsia="en-US"/>
    </w:rPr>
  </w:style>
  <w:style w:type="paragraph" w:styleId="Nagwek1">
    <w:name w:val="heading 1"/>
    <w:basedOn w:val="Normalny"/>
    <w:link w:val="Nagwek1Znak"/>
    <w:uiPriority w:val="1"/>
    <w:qFormat/>
    <w:rsid w:val="00CD430C"/>
    <w:pPr>
      <w:keepNext/>
      <w:keepLines/>
      <w:pBdr>
        <w:bottom w:val="single" w:sz="18" w:space="1" w:color="2B579A"/>
      </w:pBdr>
      <w:spacing w:before="360" w:after="240" w:line="240" w:lineRule="auto"/>
      <w:contextualSpacing/>
      <w:outlineLvl w:val="0"/>
    </w:pPr>
    <w:rPr>
      <w:rFonts w:ascii="Segoe UI Light" w:eastAsia="MS Gothic" w:hAnsi="Segoe UI Light" w:cs="Segoe UI Light"/>
      <w:i/>
      <w:color w:val="3B3838"/>
      <w:kern w:val="28"/>
      <w:sz w:val="28"/>
      <w:szCs w:val="52"/>
    </w:rPr>
  </w:style>
  <w:style w:type="paragraph" w:styleId="Nagwek2">
    <w:name w:val="heading 2"/>
    <w:basedOn w:val="Normalny"/>
    <w:next w:val="Normalny"/>
    <w:link w:val="Nagwek2Znak"/>
    <w:uiPriority w:val="1"/>
    <w:unhideWhenUsed/>
    <w:qFormat/>
    <w:rsid w:val="00C70628"/>
    <w:pPr>
      <w:keepNext/>
      <w:keepLines/>
      <w:spacing w:before="120"/>
      <w:outlineLvl w:val="1"/>
    </w:pPr>
    <w:rPr>
      <w:rFonts w:ascii="Segoe UI Light" w:eastAsia="MS Gothic" w:hAnsi="Segoe UI Light" w:cs="Segoe UI Light"/>
      <w:color w:val="1F4E79"/>
      <w:sz w:val="36"/>
      <w:szCs w:val="26"/>
    </w:rPr>
  </w:style>
  <w:style w:type="paragraph" w:styleId="Nagwek3">
    <w:name w:val="heading 3"/>
    <w:basedOn w:val="Normalny"/>
    <w:next w:val="Normalny"/>
    <w:link w:val="Nagwek3Znak"/>
    <w:uiPriority w:val="1"/>
    <w:unhideWhenUsed/>
    <w:qFormat/>
    <w:rsid w:val="00C70628"/>
    <w:pPr>
      <w:keepNext/>
      <w:keepLines/>
      <w:spacing w:before="40"/>
      <w:outlineLvl w:val="2"/>
    </w:pPr>
    <w:rPr>
      <w:rFonts w:ascii="Segoe UI Light" w:eastAsia="MS Gothic" w:hAnsi="Segoe UI Light" w:cs="Segoe UI Light"/>
      <w:color w:val="1F4D78"/>
      <w:sz w:val="24"/>
      <w:szCs w:val="24"/>
    </w:rPr>
  </w:style>
  <w:style w:type="paragraph" w:styleId="Nagwek4">
    <w:name w:val="heading 4"/>
    <w:basedOn w:val="Normalny"/>
    <w:next w:val="Normalny"/>
    <w:link w:val="Nagwek4Znak"/>
    <w:uiPriority w:val="1"/>
    <w:unhideWhenUsed/>
    <w:qFormat/>
    <w:rsid w:val="00C70628"/>
    <w:pPr>
      <w:keepNext/>
      <w:keepLines/>
      <w:spacing w:before="40"/>
      <w:outlineLvl w:val="3"/>
    </w:pPr>
    <w:rPr>
      <w:rFonts w:ascii="Segoe UI Light" w:eastAsia="MS Gothic" w:hAnsi="Segoe UI Light" w:cs="Segoe UI Light"/>
      <w:i/>
      <w:iCs/>
      <w:color w:val="1F4E79"/>
    </w:rPr>
  </w:style>
  <w:style w:type="paragraph" w:styleId="Nagwek5">
    <w:name w:val="heading 5"/>
    <w:basedOn w:val="Normalny"/>
    <w:next w:val="Normalny"/>
    <w:link w:val="Nagwek5Znak"/>
    <w:uiPriority w:val="1"/>
    <w:unhideWhenUsed/>
    <w:qFormat/>
    <w:rsid w:val="00C70628"/>
    <w:pPr>
      <w:keepNext/>
      <w:keepLines/>
      <w:spacing w:before="40"/>
      <w:outlineLvl w:val="4"/>
    </w:pPr>
    <w:rPr>
      <w:rFonts w:ascii="Segoe UI Light" w:eastAsia="MS Gothic" w:hAnsi="Segoe UI Light" w:cs="Segoe UI Light"/>
      <w:color w:val="1F4E79"/>
    </w:rPr>
  </w:style>
  <w:style w:type="paragraph" w:styleId="Nagwek6">
    <w:name w:val="heading 6"/>
    <w:basedOn w:val="Normalny"/>
    <w:next w:val="Normalny"/>
    <w:link w:val="Nagwek6Znak"/>
    <w:uiPriority w:val="1"/>
    <w:unhideWhenUsed/>
    <w:qFormat/>
    <w:rsid w:val="00C70628"/>
    <w:pPr>
      <w:keepNext/>
      <w:keepLines/>
      <w:spacing w:before="40"/>
      <w:outlineLvl w:val="5"/>
    </w:pPr>
    <w:rPr>
      <w:rFonts w:ascii="Segoe UI Light" w:eastAsia="MS Gothic" w:hAnsi="Segoe UI Light" w:cs="Segoe UI Light"/>
      <w:b/>
      <w:color w:val="1F4D78"/>
    </w:rPr>
  </w:style>
  <w:style w:type="paragraph" w:styleId="Nagwek7">
    <w:name w:val="heading 7"/>
    <w:basedOn w:val="Normalny"/>
    <w:next w:val="Normalny"/>
    <w:link w:val="Nagwek7Znak"/>
    <w:uiPriority w:val="1"/>
    <w:unhideWhenUsed/>
    <w:qFormat/>
    <w:rsid w:val="00C70628"/>
    <w:pPr>
      <w:keepNext/>
      <w:keepLines/>
      <w:spacing w:before="40"/>
      <w:outlineLvl w:val="6"/>
    </w:pPr>
    <w:rPr>
      <w:rFonts w:ascii="Segoe UI Light" w:eastAsia="MS Gothic" w:hAnsi="Segoe UI Light" w:cs="Segoe UI Light"/>
      <w:i/>
      <w:iCs/>
      <w:color w:val="1F4D78"/>
    </w:rPr>
  </w:style>
  <w:style w:type="paragraph" w:styleId="Nagwek8">
    <w:name w:val="heading 8"/>
    <w:basedOn w:val="Normalny"/>
    <w:next w:val="Normalny"/>
    <w:link w:val="Nagwek8Znak"/>
    <w:uiPriority w:val="1"/>
    <w:unhideWhenUsed/>
    <w:qFormat/>
    <w:rsid w:val="00C70628"/>
    <w:pPr>
      <w:keepNext/>
      <w:keepLines/>
      <w:spacing w:before="40"/>
      <w:outlineLvl w:val="7"/>
    </w:pPr>
    <w:rPr>
      <w:rFonts w:ascii="Segoe UI Light" w:eastAsia="MS Gothic" w:hAnsi="Segoe UI Light" w:cs="Segoe UI Light"/>
      <w:color w:val="272727"/>
      <w:szCs w:val="21"/>
    </w:rPr>
  </w:style>
  <w:style w:type="paragraph" w:styleId="Nagwek9">
    <w:name w:val="heading 9"/>
    <w:basedOn w:val="Normalny"/>
    <w:next w:val="Normalny"/>
    <w:link w:val="Nagwek9Znak"/>
    <w:uiPriority w:val="1"/>
    <w:unhideWhenUsed/>
    <w:qFormat/>
    <w:rsid w:val="00C70628"/>
    <w:pPr>
      <w:keepNext/>
      <w:keepLines/>
      <w:spacing w:before="40"/>
      <w:outlineLvl w:val="8"/>
    </w:pPr>
    <w:rPr>
      <w:rFonts w:ascii="Segoe UI Light" w:eastAsia="MS Gothic" w:hAnsi="Segoe UI Light" w:cs="Segoe UI Light"/>
      <w:i/>
      <w:iCs/>
      <w:color w:val="272727"/>
      <w:szCs w:val="2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1"/>
    <w:rsid w:val="00CD430C"/>
    <w:rPr>
      <w:rFonts w:ascii="Segoe UI Light" w:eastAsia="MS Gothic" w:hAnsi="Segoe UI Light" w:cs="Segoe UI Light"/>
      <w:i/>
      <w:color w:val="3B3838"/>
      <w:kern w:val="28"/>
      <w:sz w:val="28"/>
      <w:szCs w:val="52"/>
      <w:lang w:eastAsia="en-US"/>
    </w:rPr>
  </w:style>
  <w:style w:type="paragraph" w:styleId="Nagwek">
    <w:name w:val="header"/>
    <w:basedOn w:val="Normalny"/>
    <w:link w:val="NagwekZnak"/>
    <w:uiPriority w:val="99"/>
    <w:unhideWhenUsed/>
    <w:rsid w:val="00C70628"/>
    <w:pPr>
      <w:spacing w:line="240" w:lineRule="auto"/>
    </w:pPr>
    <w:rPr>
      <w:rFonts w:eastAsia="MS Mincho"/>
      <w:color w:val="3B3838"/>
      <w:sz w:val="24"/>
    </w:rPr>
  </w:style>
  <w:style w:type="character" w:customStyle="1" w:styleId="NagwekZnak">
    <w:name w:val="Nagłówek Znak"/>
    <w:link w:val="Nagwek"/>
    <w:uiPriority w:val="99"/>
    <w:rsid w:val="00C70628"/>
    <w:rPr>
      <w:rFonts w:ascii="Segoe UI" w:eastAsia="MS Mincho" w:hAnsi="Segoe UI" w:cs="Segoe UI"/>
      <w:color w:val="3B3838"/>
      <w:sz w:val="24"/>
    </w:rPr>
  </w:style>
  <w:style w:type="paragraph" w:styleId="Listanumerowana">
    <w:name w:val="List Number"/>
    <w:basedOn w:val="Normalny"/>
    <w:link w:val="ListanumerowanaZnak"/>
    <w:uiPriority w:val="10"/>
    <w:qFormat/>
    <w:rsid w:val="00C70628"/>
    <w:pPr>
      <w:numPr>
        <w:numId w:val="3"/>
      </w:numPr>
    </w:pPr>
    <w:rPr>
      <w:rFonts w:eastAsia="MS Mincho"/>
      <w:color w:val="3B3838"/>
    </w:rPr>
  </w:style>
  <w:style w:type="paragraph" w:styleId="Tytu">
    <w:name w:val="Title"/>
    <w:basedOn w:val="Normalny"/>
    <w:link w:val="TytuZnak"/>
    <w:uiPriority w:val="1"/>
    <w:qFormat/>
    <w:rsid w:val="00C70628"/>
    <w:pPr>
      <w:pBdr>
        <w:left w:val="single" w:sz="48" w:space="0" w:color="2B579A"/>
      </w:pBdr>
      <w:shd w:val="clear" w:color="auto" w:fill="2B579A"/>
      <w:spacing w:before="0" w:line="240" w:lineRule="auto"/>
      <w:ind w:left="144"/>
      <w:contextualSpacing/>
    </w:pPr>
    <w:rPr>
      <w:rFonts w:ascii="Segoe UI Light" w:eastAsia="MS Gothic" w:hAnsi="Segoe UI Light" w:cs="Segoe UI Light"/>
      <w:color w:val="FFFFFF"/>
      <w:spacing w:val="-10"/>
      <w:kern w:val="28"/>
      <w:sz w:val="96"/>
      <w:szCs w:val="56"/>
    </w:rPr>
  </w:style>
  <w:style w:type="character" w:customStyle="1" w:styleId="TytuZnak">
    <w:name w:val="Tytuł Znak"/>
    <w:link w:val="Tytu"/>
    <w:uiPriority w:val="1"/>
    <w:rsid w:val="00C70628"/>
    <w:rPr>
      <w:rFonts w:ascii="Segoe UI Light" w:eastAsia="MS Gothic" w:hAnsi="Segoe UI Light" w:cs="Segoe UI Light"/>
      <w:color w:val="FFFFFF"/>
      <w:spacing w:val="-10"/>
      <w:kern w:val="28"/>
      <w:sz w:val="96"/>
      <w:szCs w:val="56"/>
      <w:shd w:val="clear" w:color="auto" w:fill="2B579A"/>
    </w:rPr>
  </w:style>
  <w:style w:type="paragraph" w:styleId="Podtytu">
    <w:name w:val="Subtitle"/>
    <w:basedOn w:val="Normalny"/>
    <w:next w:val="Normalny"/>
    <w:link w:val="PodtytuZnak"/>
    <w:uiPriority w:val="2"/>
    <w:qFormat/>
    <w:rsid w:val="00C70628"/>
    <w:pPr>
      <w:numPr>
        <w:ilvl w:val="1"/>
      </w:numPr>
      <w:pBdr>
        <w:left w:val="single" w:sz="48" w:space="0" w:color="2B579A"/>
        <w:bottom w:val="single" w:sz="48" w:space="1" w:color="2B579A"/>
      </w:pBdr>
      <w:shd w:val="clear" w:color="auto" w:fill="2B579A"/>
      <w:spacing w:before="0" w:after="120"/>
      <w:ind w:left="144"/>
      <w:contextualSpacing/>
    </w:pPr>
    <w:rPr>
      <w:rFonts w:ascii="Segoe UI Light" w:eastAsia="MS Mincho" w:hAnsi="Segoe UI Light" w:cs="Segoe UI Light"/>
      <w:color w:val="FFFFFF"/>
      <w:spacing w:val="15"/>
      <w:sz w:val="36"/>
    </w:rPr>
  </w:style>
  <w:style w:type="character" w:customStyle="1" w:styleId="PodtytuZnak">
    <w:name w:val="Podtytuł Znak"/>
    <w:link w:val="Podtytu"/>
    <w:uiPriority w:val="2"/>
    <w:rsid w:val="00C70628"/>
    <w:rPr>
      <w:rFonts w:ascii="Segoe UI Light" w:eastAsia="MS Mincho" w:hAnsi="Segoe UI Light" w:cs="Segoe UI Light"/>
      <w:color w:val="FFFFFF"/>
      <w:spacing w:val="15"/>
      <w:sz w:val="36"/>
      <w:shd w:val="clear" w:color="auto" w:fill="2B579A"/>
    </w:rPr>
  </w:style>
  <w:style w:type="table" w:styleId="Tabela-Siatka">
    <w:name w:val="Table Grid"/>
    <w:basedOn w:val="Standardowy"/>
    <w:uiPriority w:val="39"/>
    <w:rsid w:val="00C70628"/>
    <w:rPr>
      <w:rFonts w:ascii="Arial" w:hAnsi="Arial" w:cs="Arial"/>
      <w:color w:val="40404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semiHidden/>
    <w:unhideWhenUsed/>
    <w:rsid w:val="00C70628"/>
    <w:pPr>
      <w:spacing w:before="100" w:beforeAutospacing="1" w:after="100" w:afterAutospacing="1" w:line="240" w:lineRule="auto"/>
    </w:pPr>
    <w:rPr>
      <w:rFonts w:ascii="Times New Roman" w:eastAsia="MS Mincho" w:hAnsi="Times New Roman" w:cs="Times New Roman"/>
      <w:color w:val="404040"/>
      <w:sz w:val="24"/>
      <w:szCs w:val="24"/>
    </w:rPr>
  </w:style>
  <w:style w:type="paragraph" w:styleId="Stopka">
    <w:name w:val="footer"/>
    <w:basedOn w:val="Normalny"/>
    <w:link w:val="StopkaZnak"/>
    <w:uiPriority w:val="99"/>
    <w:unhideWhenUsed/>
    <w:rsid w:val="00C70628"/>
    <w:pPr>
      <w:spacing w:line="240" w:lineRule="auto"/>
    </w:pPr>
  </w:style>
  <w:style w:type="character" w:customStyle="1" w:styleId="StopkaZnak">
    <w:name w:val="Stopka Znak"/>
    <w:link w:val="Stopka"/>
    <w:uiPriority w:val="99"/>
    <w:rsid w:val="00C70628"/>
    <w:rPr>
      <w:rFonts w:ascii="Segoe UI" w:hAnsi="Segoe UI" w:cs="Segoe UI"/>
    </w:rPr>
  </w:style>
  <w:style w:type="character" w:styleId="Wyrnienieintensywne">
    <w:name w:val="Intense Emphasis"/>
    <w:uiPriority w:val="21"/>
    <w:qFormat/>
    <w:rsid w:val="00C70628"/>
    <w:rPr>
      <w:rFonts w:ascii="Segoe UI" w:hAnsi="Segoe UI" w:cs="Segoe UI"/>
      <w:i/>
      <w:iCs/>
      <w:color w:val="2B579A"/>
    </w:rPr>
  </w:style>
  <w:style w:type="table" w:styleId="Tabelasiatki1jasna">
    <w:name w:val="Grid Table 1 Light"/>
    <w:basedOn w:val="Standardowy"/>
    <w:uiPriority w:val="46"/>
    <w:rsid w:val="00C70628"/>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elasiatki4akcent5">
    <w:name w:val="Grid Table 4 Accent 5"/>
    <w:basedOn w:val="Standardowy"/>
    <w:uiPriority w:val="49"/>
    <w:rsid w:val="00C70628"/>
    <w:tblPr>
      <w:tblStyleRowBandSize w:val="1"/>
      <w:tblStyleColBandSize w:val="1"/>
      <w:tblBorders>
        <w:top w:val="single" w:sz="4" w:space="0" w:color="6C95D6"/>
        <w:left w:val="single" w:sz="4" w:space="0" w:color="6C95D6"/>
        <w:bottom w:val="single" w:sz="4" w:space="0" w:color="6C95D6"/>
        <w:right w:val="single" w:sz="4" w:space="0" w:color="6C95D6"/>
        <w:insideH w:val="single" w:sz="4" w:space="0" w:color="6C95D6"/>
        <w:insideV w:val="single" w:sz="4" w:space="0" w:color="6C95D6"/>
      </w:tblBorders>
    </w:tblPr>
    <w:tblStylePr w:type="firstRow">
      <w:rPr>
        <w:b/>
        <w:bCs/>
        <w:color w:val="FFFFFF"/>
      </w:rPr>
      <w:tblPr/>
      <w:tcPr>
        <w:tcBorders>
          <w:top w:val="single" w:sz="4" w:space="0" w:color="2B579A"/>
          <w:left w:val="single" w:sz="4" w:space="0" w:color="2B579A"/>
          <w:bottom w:val="single" w:sz="4" w:space="0" w:color="2B579A"/>
          <w:right w:val="single" w:sz="4" w:space="0" w:color="2B579A"/>
          <w:insideH w:val="nil"/>
          <w:insideV w:val="nil"/>
        </w:tcBorders>
        <w:shd w:val="clear" w:color="auto" w:fill="2B579A"/>
      </w:tcPr>
    </w:tblStylePr>
    <w:tblStylePr w:type="lastRow">
      <w:rPr>
        <w:b/>
        <w:bCs/>
      </w:rPr>
      <w:tblPr/>
      <w:tcPr>
        <w:tcBorders>
          <w:top w:val="double" w:sz="4" w:space="0" w:color="2B579A"/>
        </w:tcBorders>
      </w:tcPr>
    </w:tblStylePr>
    <w:tblStylePr w:type="firstCol">
      <w:rPr>
        <w:b/>
        <w:bCs/>
      </w:rPr>
    </w:tblStylePr>
    <w:tblStylePr w:type="lastCol">
      <w:rPr>
        <w:b/>
        <w:bCs/>
      </w:rPr>
    </w:tblStylePr>
    <w:tblStylePr w:type="band1Vert">
      <w:tblPr/>
      <w:tcPr>
        <w:shd w:val="clear" w:color="auto" w:fill="CEDBF1"/>
      </w:tcPr>
    </w:tblStylePr>
    <w:tblStylePr w:type="band1Horz">
      <w:tblPr/>
      <w:tcPr>
        <w:shd w:val="clear" w:color="auto" w:fill="CEDBF1"/>
      </w:tcPr>
    </w:tblStylePr>
  </w:style>
  <w:style w:type="table" w:styleId="Tabelasiatki1jasnaakcent6">
    <w:name w:val="Grid Table 1 Light Accent 6"/>
    <w:basedOn w:val="Standardowy"/>
    <w:uiPriority w:val="46"/>
    <w:rsid w:val="00C70628"/>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Tabelasiatki5ciemna">
    <w:name w:val="Grid Table 5 Dark"/>
    <w:basedOn w:val="Standardowy"/>
    <w:uiPriority w:val="50"/>
    <w:rsid w:val="00C706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Tabelasiatki4">
    <w:name w:val="Grid Table 4"/>
    <w:basedOn w:val="Standardowy"/>
    <w:uiPriority w:val="49"/>
    <w:rsid w:val="00C70628"/>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elasiatki1jasnaakcent1">
    <w:name w:val="Grid Table 1 Light Accent 1"/>
    <w:basedOn w:val="Standardowy"/>
    <w:uiPriority w:val="46"/>
    <w:rsid w:val="00C70628"/>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customStyle="1" w:styleId="Nagwek2Znak">
    <w:name w:val="Nagłówek 2 Znak"/>
    <w:link w:val="Nagwek2"/>
    <w:uiPriority w:val="1"/>
    <w:rsid w:val="00C70628"/>
    <w:rPr>
      <w:rFonts w:ascii="Segoe UI Light" w:eastAsia="MS Gothic" w:hAnsi="Segoe UI Light" w:cs="Segoe UI Light"/>
      <w:color w:val="1F4E79"/>
      <w:sz w:val="36"/>
      <w:szCs w:val="26"/>
    </w:rPr>
  </w:style>
  <w:style w:type="paragraph" w:styleId="Listapunktowana">
    <w:name w:val="List Bullet"/>
    <w:basedOn w:val="Normalny"/>
    <w:uiPriority w:val="11"/>
    <w:qFormat/>
    <w:rsid w:val="00C70628"/>
    <w:pPr>
      <w:numPr>
        <w:numId w:val="5"/>
      </w:numPr>
    </w:pPr>
  </w:style>
  <w:style w:type="paragraph" w:styleId="Tekstdymka">
    <w:name w:val="Balloon Text"/>
    <w:basedOn w:val="Normalny"/>
    <w:link w:val="TekstdymkaZnak"/>
    <w:uiPriority w:val="99"/>
    <w:semiHidden/>
    <w:unhideWhenUsed/>
    <w:rsid w:val="00C70628"/>
    <w:pPr>
      <w:spacing w:line="240" w:lineRule="auto"/>
    </w:pPr>
    <w:rPr>
      <w:szCs w:val="18"/>
    </w:rPr>
  </w:style>
  <w:style w:type="character" w:customStyle="1" w:styleId="TekstdymkaZnak">
    <w:name w:val="Tekst dymka Znak"/>
    <w:link w:val="Tekstdymka"/>
    <w:uiPriority w:val="99"/>
    <w:semiHidden/>
    <w:rsid w:val="00C70628"/>
    <w:rPr>
      <w:rFonts w:ascii="Segoe UI" w:hAnsi="Segoe UI" w:cs="Segoe UI"/>
      <w:szCs w:val="18"/>
    </w:rPr>
  </w:style>
  <w:style w:type="character" w:styleId="Odwoaniedokomentarza">
    <w:name w:val="annotation reference"/>
    <w:uiPriority w:val="99"/>
    <w:semiHidden/>
    <w:unhideWhenUsed/>
    <w:rsid w:val="00C70628"/>
    <w:rPr>
      <w:rFonts w:ascii="Segoe UI" w:hAnsi="Segoe UI" w:cs="Segoe UI"/>
      <w:sz w:val="22"/>
      <w:szCs w:val="16"/>
    </w:rPr>
  </w:style>
  <w:style w:type="paragraph" w:styleId="Tekstkomentarza">
    <w:name w:val="annotation text"/>
    <w:basedOn w:val="Normalny"/>
    <w:link w:val="TekstkomentarzaZnak"/>
    <w:uiPriority w:val="99"/>
    <w:semiHidden/>
    <w:unhideWhenUsed/>
    <w:rsid w:val="00C70628"/>
    <w:pPr>
      <w:spacing w:line="240" w:lineRule="auto"/>
    </w:pPr>
    <w:rPr>
      <w:szCs w:val="20"/>
    </w:rPr>
  </w:style>
  <w:style w:type="character" w:customStyle="1" w:styleId="TekstkomentarzaZnak">
    <w:name w:val="Tekst komentarza Znak"/>
    <w:link w:val="Tekstkomentarza"/>
    <w:uiPriority w:val="99"/>
    <w:semiHidden/>
    <w:rsid w:val="00C70628"/>
    <w:rPr>
      <w:rFonts w:ascii="Segoe UI" w:hAnsi="Segoe UI" w:cs="Segoe UI"/>
      <w:szCs w:val="20"/>
    </w:rPr>
  </w:style>
  <w:style w:type="paragraph" w:styleId="Tematkomentarza">
    <w:name w:val="annotation subject"/>
    <w:basedOn w:val="Tekstkomentarza"/>
    <w:next w:val="Tekstkomentarza"/>
    <w:link w:val="TematkomentarzaZnak"/>
    <w:uiPriority w:val="99"/>
    <w:semiHidden/>
    <w:unhideWhenUsed/>
    <w:rsid w:val="00C70628"/>
    <w:rPr>
      <w:b/>
      <w:bCs/>
    </w:rPr>
  </w:style>
  <w:style w:type="character" w:customStyle="1" w:styleId="TematkomentarzaZnak">
    <w:name w:val="Temat komentarza Znak"/>
    <w:link w:val="Tematkomentarza"/>
    <w:uiPriority w:val="99"/>
    <w:semiHidden/>
    <w:rsid w:val="00C70628"/>
    <w:rPr>
      <w:rFonts w:ascii="Segoe UI" w:hAnsi="Segoe UI" w:cs="Segoe UI"/>
      <w:b/>
      <w:bCs/>
      <w:szCs w:val="20"/>
    </w:rPr>
  </w:style>
  <w:style w:type="character" w:styleId="Hipercze">
    <w:name w:val="Hyperlink"/>
    <w:uiPriority w:val="99"/>
    <w:unhideWhenUsed/>
    <w:rsid w:val="00C70628"/>
    <w:rPr>
      <w:rFonts w:ascii="Segoe UI" w:hAnsi="Segoe UI" w:cs="Segoe UI"/>
      <w:color w:val="0563C1"/>
      <w:u w:val="single"/>
    </w:rPr>
  </w:style>
  <w:style w:type="character" w:styleId="Uwydatnienie">
    <w:name w:val="Emphasis"/>
    <w:uiPriority w:val="20"/>
    <w:qFormat/>
    <w:rsid w:val="00C70628"/>
    <w:rPr>
      <w:rFonts w:ascii="Segoe UI" w:hAnsi="Segoe UI" w:cs="Segoe UI"/>
      <w:b/>
      <w:iCs/>
      <w:color w:val="BF0000"/>
    </w:rPr>
  </w:style>
  <w:style w:type="character" w:styleId="UyteHipercze">
    <w:name w:val="FollowedHyperlink"/>
    <w:uiPriority w:val="99"/>
    <w:semiHidden/>
    <w:unhideWhenUsed/>
    <w:rsid w:val="00C70628"/>
    <w:rPr>
      <w:rFonts w:ascii="Segoe UI" w:hAnsi="Segoe UI" w:cs="Segoe UI"/>
      <w:color w:val="954F72"/>
      <w:u w:val="single"/>
    </w:rPr>
  </w:style>
  <w:style w:type="character" w:styleId="Pogrubienie">
    <w:name w:val="Strong"/>
    <w:uiPriority w:val="22"/>
    <w:qFormat/>
    <w:rsid w:val="00C70628"/>
    <w:rPr>
      <w:rFonts w:ascii="Segoe UI" w:hAnsi="Segoe UI" w:cs="Segoe UI"/>
      <w:b/>
      <w:bCs/>
      <w:color w:val="2B579A"/>
    </w:rPr>
  </w:style>
  <w:style w:type="paragraph" w:customStyle="1" w:styleId="Nagwek1podziastrony">
    <w:name w:val="Nagłówek 1 — podział strony"/>
    <w:basedOn w:val="Normalny"/>
    <w:uiPriority w:val="6"/>
    <w:qFormat/>
    <w:rsid w:val="00C70628"/>
    <w:pPr>
      <w:keepNext/>
      <w:keepLines/>
      <w:pageBreakBefore/>
      <w:pBdr>
        <w:bottom w:val="single" w:sz="18" w:space="1" w:color="2B579A"/>
      </w:pBdr>
      <w:spacing w:before="360" w:after="240"/>
      <w:contextualSpacing/>
    </w:pPr>
    <w:rPr>
      <w:rFonts w:ascii="Segoe UI Light" w:hAnsi="Segoe UI Light" w:cs="Segoe UI Light"/>
      <w:color w:val="3B3838"/>
      <w:sz w:val="52"/>
    </w:rPr>
  </w:style>
  <w:style w:type="paragraph" w:customStyle="1" w:styleId="Obraz">
    <w:name w:val="Obraz"/>
    <w:basedOn w:val="Normalny"/>
    <w:uiPriority w:val="22"/>
    <w:qFormat/>
    <w:rsid w:val="00C70628"/>
    <w:pPr>
      <w:spacing w:before="240"/>
    </w:pPr>
    <w:rPr>
      <w:noProof/>
    </w:rPr>
  </w:style>
  <w:style w:type="paragraph" w:styleId="Bibliografia">
    <w:name w:val="Bibliography"/>
    <w:basedOn w:val="Normalny"/>
    <w:next w:val="Normalny"/>
    <w:uiPriority w:val="37"/>
    <w:unhideWhenUsed/>
    <w:rsid w:val="00C70628"/>
  </w:style>
  <w:style w:type="paragraph" w:styleId="Nagwekspisutreci">
    <w:name w:val="TOC Heading"/>
    <w:basedOn w:val="Nagwek1"/>
    <w:next w:val="Normalny"/>
    <w:uiPriority w:val="39"/>
    <w:unhideWhenUsed/>
    <w:qFormat/>
    <w:rsid w:val="00C70628"/>
    <w:pPr>
      <w:outlineLvl w:val="9"/>
    </w:pPr>
    <w:rPr>
      <w:kern w:val="0"/>
      <w:szCs w:val="32"/>
    </w:rPr>
  </w:style>
  <w:style w:type="paragraph" w:styleId="Tekstblokowy">
    <w:name w:val="Block Text"/>
    <w:basedOn w:val="Normalny"/>
    <w:uiPriority w:val="99"/>
    <w:unhideWhenUsed/>
    <w:rsid w:val="00C70628"/>
    <w:pPr>
      <w:pBdr>
        <w:top w:val="single" w:sz="2" w:space="10" w:color="1F4E79"/>
        <w:left w:val="single" w:sz="2" w:space="10" w:color="1F4E79"/>
        <w:bottom w:val="single" w:sz="2" w:space="10" w:color="1F4E79"/>
        <w:right w:val="single" w:sz="2" w:space="10" w:color="1F4E79"/>
      </w:pBdr>
      <w:ind w:left="1152" w:right="1152"/>
    </w:pPr>
    <w:rPr>
      <w:rFonts w:eastAsia="MS Mincho"/>
      <w:i/>
      <w:iCs/>
      <w:color w:val="1F4E79"/>
    </w:rPr>
  </w:style>
  <w:style w:type="paragraph" w:styleId="Tekstpodstawowy">
    <w:name w:val="Body Text"/>
    <w:basedOn w:val="Normalny"/>
    <w:link w:val="TekstpodstawowyZnak"/>
    <w:uiPriority w:val="99"/>
    <w:semiHidden/>
    <w:unhideWhenUsed/>
    <w:rsid w:val="00C70628"/>
    <w:pPr>
      <w:spacing w:after="120"/>
    </w:pPr>
  </w:style>
  <w:style w:type="character" w:customStyle="1" w:styleId="TekstpodstawowyZnak">
    <w:name w:val="Tekst podstawowy Znak"/>
    <w:link w:val="Tekstpodstawowy"/>
    <w:uiPriority w:val="99"/>
    <w:semiHidden/>
    <w:rsid w:val="00C70628"/>
    <w:rPr>
      <w:rFonts w:ascii="Segoe UI" w:hAnsi="Segoe UI" w:cs="Segoe UI"/>
    </w:rPr>
  </w:style>
  <w:style w:type="paragraph" w:styleId="Tekstpodstawowy2">
    <w:name w:val="Body Text 2"/>
    <w:basedOn w:val="Normalny"/>
    <w:link w:val="Tekstpodstawowy2Znak"/>
    <w:uiPriority w:val="99"/>
    <w:semiHidden/>
    <w:unhideWhenUsed/>
    <w:rsid w:val="00C70628"/>
    <w:pPr>
      <w:spacing w:after="120" w:line="480" w:lineRule="auto"/>
    </w:pPr>
  </w:style>
  <w:style w:type="character" w:customStyle="1" w:styleId="Tekstpodstawowy2Znak">
    <w:name w:val="Tekst podstawowy 2 Znak"/>
    <w:link w:val="Tekstpodstawowy2"/>
    <w:uiPriority w:val="99"/>
    <w:semiHidden/>
    <w:rsid w:val="00C70628"/>
    <w:rPr>
      <w:rFonts w:ascii="Segoe UI" w:hAnsi="Segoe UI" w:cs="Segoe UI"/>
    </w:rPr>
  </w:style>
  <w:style w:type="paragraph" w:styleId="Tekstpodstawowy3">
    <w:name w:val="Body Text 3"/>
    <w:basedOn w:val="Normalny"/>
    <w:link w:val="Tekstpodstawowy3Znak"/>
    <w:uiPriority w:val="99"/>
    <w:semiHidden/>
    <w:unhideWhenUsed/>
    <w:rsid w:val="00C70628"/>
    <w:pPr>
      <w:spacing w:after="120"/>
    </w:pPr>
    <w:rPr>
      <w:szCs w:val="16"/>
    </w:rPr>
  </w:style>
  <w:style w:type="character" w:customStyle="1" w:styleId="Tekstpodstawowy3Znak">
    <w:name w:val="Tekst podstawowy 3 Znak"/>
    <w:link w:val="Tekstpodstawowy3"/>
    <w:uiPriority w:val="99"/>
    <w:semiHidden/>
    <w:rsid w:val="00C70628"/>
    <w:rPr>
      <w:rFonts w:ascii="Segoe UI" w:hAnsi="Segoe UI" w:cs="Segoe UI"/>
      <w:szCs w:val="16"/>
    </w:rPr>
  </w:style>
  <w:style w:type="paragraph" w:styleId="Tekstpodstawowyzwciciem">
    <w:name w:val="Body Text First Indent"/>
    <w:basedOn w:val="Tekstpodstawowy"/>
    <w:link w:val="TekstpodstawowyzwciciemZnak"/>
    <w:uiPriority w:val="99"/>
    <w:semiHidden/>
    <w:unhideWhenUsed/>
    <w:rsid w:val="00C70628"/>
    <w:pPr>
      <w:spacing w:after="0"/>
      <w:ind w:firstLine="360"/>
    </w:pPr>
  </w:style>
  <w:style w:type="character" w:customStyle="1" w:styleId="TekstpodstawowyzwciciemZnak">
    <w:name w:val="Tekst podstawowy z wcięciem Znak"/>
    <w:link w:val="Tekstpodstawowyzwciciem"/>
    <w:uiPriority w:val="99"/>
    <w:semiHidden/>
    <w:rsid w:val="00C70628"/>
    <w:rPr>
      <w:rFonts w:ascii="Segoe UI" w:hAnsi="Segoe UI" w:cs="Segoe UI"/>
    </w:rPr>
  </w:style>
  <w:style w:type="paragraph" w:styleId="Tekstpodstawowywcity">
    <w:name w:val="Body Text Indent"/>
    <w:basedOn w:val="Normalny"/>
    <w:link w:val="TekstpodstawowywcityZnak"/>
    <w:uiPriority w:val="99"/>
    <w:semiHidden/>
    <w:unhideWhenUsed/>
    <w:rsid w:val="00C70628"/>
    <w:pPr>
      <w:spacing w:after="120"/>
      <w:ind w:left="360"/>
    </w:pPr>
  </w:style>
  <w:style w:type="character" w:customStyle="1" w:styleId="TekstpodstawowywcityZnak">
    <w:name w:val="Tekst podstawowy wcięty Znak"/>
    <w:link w:val="Tekstpodstawowywcity"/>
    <w:uiPriority w:val="99"/>
    <w:semiHidden/>
    <w:rsid w:val="00C70628"/>
    <w:rPr>
      <w:rFonts w:ascii="Segoe UI" w:hAnsi="Segoe UI" w:cs="Segoe UI"/>
    </w:rPr>
  </w:style>
  <w:style w:type="paragraph" w:styleId="Tekstpodstawowyzwciciem2">
    <w:name w:val="Body Text First Indent 2"/>
    <w:basedOn w:val="Tekstpodstawowywcity"/>
    <w:link w:val="Tekstpodstawowyzwciciem2Znak"/>
    <w:uiPriority w:val="99"/>
    <w:semiHidden/>
    <w:unhideWhenUsed/>
    <w:rsid w:val="00C70628"/>
    <w:pPr>
      <w:spacing w:after="0"/>
      <w:ind w:firstLine="360"/>
    </w:pPr>
  </w:style>
  <w:style w:type="character" w:customStyle="1" w:styleId="Tekstpodstawowyzwciciem2Znak">
    <w:name w:val="Tekst podstawowy z wcięciem 2 Znak"/>
    <w:link w:val="Tekstpodstawowyzwciciem2"/>
    <w:uiPriority w:val="99"/>
    <w:semiHidden/>
    <w:rsid w:val="00C70628"/>
    <w:rPr>
      <w:rFonts w:ascii="Segoe UI" w:hAnsi="Segoe UI" w:cs="Segoe UI"/>
    </w:rPr>
  </w:style>
  <w:style w:type="paragraph" w:styleId="Tekstpodstawowywcity2">
    <w:name w:val="Body Text Indent 2"/>
    <w:basedOn w:val="Normalny"/>
    <w:link w:val="Tekstpodstawowywcity2Znak"/>
    <w:uiPriority w:val="99"/>
    <w:semiHidden/>
    <w:unhideWhenUsed/>
    <w:rsid w:val="00C70628"/>
    <w:pPr>
      <w:spacing w:after="120" w:line="480" w:lineRule="auto"/>
      <w:ind w:left="360"/>
    </w:pPr>
  </w:style>
  <w:style w:type="character" w:customStyle="1" w:styleId="Tekstpodstawowywcity2Znak">
    <w:name w:val="Tekst podstawowy wcięty 2 Znak"/>
    <w:link w:val="Tekstpodstawowywcity2"/>
    <w:uiPriority w:val="99"/>
    <w:semiHidden/>
    <w:rsid w:val="00C70628"/>
    <w:rPr>
      <w:rFonts w:ascii="Segoe UI" w:hAnsi="Segoe UI" w:cs="Segoe UI"/>
    </w:rPr>
  </w:style>
  <w:style w:type="paragraph" w:styleId="Tekstpodstawowywcity3">
    <w:name w:val="Body Text Indent 3"/>
    <w:basedOn w:val="Normalny"/>
    <w:link w:val="Tekstpodstawowywcity3Znak"/>
    <w:uiPriority w:val="99"/>
    <w:semiHidden/>
    <w:unhideWhenUsed/>
    <w:rsid w:val="00C70628"/>
    <w:pPr>
      <w:spacing w:after="120"/>
      <w:ind w:left="360"/>
    </w:pPr>
    <w:rPr>
      <w:szCs w:val="16"/>
    </w:rPr>
  </w:style>
  <w:style w:type="character" w:customStyle="1" w:styleId="Tekstpodstawowywcity3Znak">
    <w:name w:val="Tekst podstawowy wcięty 3 Znak"/>
    <w:link w:val="Tekstpodstawowywcity3"/>
    <w:uiPriority w:val="99"/>
    <w:semiHidden/>
    <w:rsid w:val="00C70628"/>
    <w:rPr>
      <w:rFonts w:ascii="Segoe UI" w:hAnsi="Segoe UI" w:cs="Segoe UI"/>
      <w:szCs w:val="16"/>
    </w:rPr>
  </w:style>
  <w:style w:type="character" w:styleId="Tytuksiki">
    <w:name w:val="Book Title"/>
    <w:uiPriority w:val="33"/>
    <w:semiHidden/>
    <w:unhideWhenUsed/>
    <w:qFormat/>
    <w:rsid w:val="00C70628"/>
    <w:rPr>
      <w:rFonts w:ascii="Segoe UI" w:hAnsi="Segoe UI" w:cs="Segoe UI"/>
      <w:b/>
      <w:bCs/>
      <w:i/>
      <w:iCs/>
      <w:spacing w:val="0"/>
    </w:rPr>
  </w:style>
  <w:style w:type="paragraph" w:styleId="Legenda">
    <w:name w:val="caption"/>
    <w:basedOn w:val="Normalny"/>
    <w:next w:val="Normalny"/>
    <w:uiPriority w:val="35"/>
    <w:semiHidden/>
    <w:unhideWhenUsed/>
    <w:qFormat/>
    <w:rsid w:val="00C70628"/>
    <w:pPr>
      <w:spacing w:before="0" w:after="200" w:line="240" w:lineRule="auto"/>
    </w:pPr>
    <w:rPr>
      <w:i/>
      <w:iCs/>
      <w:color w:val="44546A"/>
      <w:szCs w:val="18"/>
    </w:rPr>
  </w:style>
  <w:style w:type="paragraph" w:styleId="Zwrotpoegnalny">
    <w:name w:val="Closing"/>
    <w:basedOn w:val="Normalny"/>
    <w:link w:val="ZwrotpoegnalnyZnak"/>
    <w:uiPriority w:val="99"/>
    <w:semiHidden/>
    <w:unhideWhenUsed/>
    <w:rsid w:val="00C70628"/>
    <w:pPr>
      <w:spacing w:before="0" w:line="240" w:lineRule="auto"/>
      <w:ind w:left="4320"/>
    </w:pPr>
  </w:style>
  <w:style w:type="character" w:customStyle="1" w:styleId="ZwrotpoegnalnyZnak">
    <w:name w:val="Zwrot pożegnalny Znak"/>
    <w:link w:val="Zwrotpoegnalny"/>
    <w:uiPriority w:val="99"/>
    <w:semiHidden/>
    <w:rsid w:val="00C70628"/>
    <w:rPr>
      <w:rFonts w:ascii="Segoe UI" w:hAnsi="Segoe UI" w:cs="Segoe UI"/>
    </w:rPr>
  </w:style>
  <w:style w:type="table" w:styleId="Kolorowasiatka">
    <w:name w:val="Colorful Grid"/>
    <w:basedOn w:val="Standardowy"/>
    <w:uiPriority w:val="73"/>
    <w:semiHidden/>
    <w:unhideWhenUsed/>
    <w:rsid w:val="00C706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73"/>
    <w:semiHidden/>
    <w:unhideWhenUsed/>
    <w:rsid w:val="00C70628"/>
    <w:rPr>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Kolorowasiatkaakcent2">
    <w:name w:val="Colorful Grid Accent 2"/>
    <w:basedOn w:val="Standardowy"/>
    <w:uiPriority w:val="73"/>
    <w:semiHidden/>
    <w:unhideWhenUsed/>
    <w:rsid w:val="00C70628"/>
    <w:rPr>
      <w:color w:val="000000"/>
    </w:rPr>
    <w:tblPr>
      <w:tblStyleRowBandSize w:val="1"/>
      <w:tblStyleColBandSize w:val="1"/>
      <w:tblBorders>
        <w:insideH w:val="single" w:sz="4" w:space="0" w:color="FFFFFF"/>
      </w:tblBorders>
    </w:tblPr>
    <w:tcPr>
      <w:shd w:val="clear" w:color="auto" w:fill="FFCCCC"/>
    </w:tcPr>
    <w:tblStylePr w:type="firstRow">
      <w:rPr>
        <w:b/>
        <w:bCs/>
      </w:rPr>
      <w:tblPr/>
      <w:tcPr>
        <w:shd w:val="clear" w:color="auto" w:fill="FF9999"/>
      </w:tcPr>
    </w:tblStylePr>
    <w:tblStylePr w:type="lastRow">
      <w:rPr>
        <w:b/>
        <w:bCs/>
        <w:color w:val="000000"/>
      </w:rPr>
      <w:tblPr/>
      <w:tcPr>
        <w:shd w:val="clear" w:color="auto" w:fill="FF9999"/>
      </w:tcPr>
    </w:tblStylePr>
    <w:tblStylePr w:type="firstCol">
      <w:rPr>
        <w:color w:val="FFFFFF"/>
      </w:rPr>
      <w:tblPr/>
      <w:tcPr>
        <w:shd w:val="clear" w:color="auto" w:fill="BF0000"/>
      </w:tcPr>
    </w:tblStylePr>
    <w:tblStylePr w:type="lastCol">
      <w:rPr>
        <w:color w:val="FFFFFF"/>
      </w:rPr>
      <w:tblPr/>
      <w:tcPr>
        <w:shd w:val="clear" w:color="auto" w:fill="BF0000"/>
      </w:tcPr>
    </w:tblStylePr>
    <w:tblStylePr w:type="band1Vert">
      <w:tblPr/>
      <w:tcPr>
        <w:shd w:val="clear" w:color="auto" w:fill="FF8080"/>
      </w:tcPr>
    </w:tblStylePr>
    <w:tblStylePr w:type="band1Horz">
      <w:tblPr/>
      <w:tcPr>
        <w:shd w:val="clear" w:color="auto" w:fill="FF8080"/>
      </w:tcPr>
    </w:tblStylePr>
  </w:style>
  <w:style w:type="table" w:styleId="Kolorowasiatkaakcent3">
    <w:name w:val="Colorful Grid Accent 3"/>
    <w:basedOn w:val="Standardowy"/>
    <w:uiPriority w:val="73"/>
    <w:semiHidden/>
    <w:unhideWhenUsed/>
    <w:rsid w:val="00C70628"/>
    <w:rPr>
      <w:color w:val="000000"/>
    </w:rPr>
    <w:tblPr>
      <w:tblStyleRowBandSize w:val="1"/>
      <w:tblStyleColBandSize w:val="1"/>
      <w:tblBorders>
        <w:insideH w:val="single" w:sz="4" w:space="0" w:color="FFFFFF"/>
      </w:tblBorders>
    </w:tblPr>
    <w:tcPr>
      <w:shd w:val="clear" w:color="auto" w:fill="EDEDED"/>
    </w:tcPr>
    <w:tblStylePr w:type="firstRow">
      <w:rPr>
        <w:b/>
        <w:bCs/>
      </w:rPr>
      <w:tblPr/>
      <w:tcPr>
        <w:shd w:val="clear" w:color="auto" w:fill="DBDBDB"/>
      </w:tcPr>
    </w:tblStylePr>
    <w:tblStylePr w:type="lastRow">
      <w:rPr>
        <w:b/>
        <w:bCs/>
        <w:color w:val="000000"/>
      </w:rPr>
      <w:tblPr/>
      <w:tcPr>
        <w:shd w:val="clear" w:color="auto" w:fill="DBDBDB"/>
      </w:tcPr>
    </w:tblStylePr>
    <w:tblStylePr w:type="firstCol">
      <w:rPr>
        <w:color w:val="FFFFFF"/>
      </w:rPr>
      <w:tblPr/>
      <w:tcPr>
        <w:shd w:val="clear" w:color="auto" w:fill="7B7B7B"/>
      </w:tcPr>
    </w:tblStylePr>
    <w:tblStylePr w:type="lastCol">
      <w:rPr>
        <w:color w:val="FFFFFF"/>
      </w:rPr>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table" w:styleId="Kolorowasiatkaakcent4">
    <w:name w:val="Colorful Grid Accent 4"/>
    <w:basedOn w:val="Standardowy"/>
    <w:uiPriority w:val="73"/>
    <w:semiHidden/>
    <w:unhideWhenUsed/>
    <w:rsid w:val="00C70628"/>
    <w:rPr>
      <w:color w:val="000000"/>
    </w:rPr>
    <w:tblPr>
      <w:tblStyleRowBandSize w:val="1"/>
      <w:tblStyleColBandSize w:val="1"/>
      <w:tblBorders>
        <w:insideH w:val="single" w:sz="4" w:space="0" w:color="FFFFFF"/>
      </w:tblBorders>
    </w:tblPr>
    <w:tcPr>
      <w:shd w:val="clear" w:color="auto" w:fill="FFF2CC"/>
    </w:tcPr>
    <w:tblStylePr w:type="firstRow">
      <w:rPr>
        <w:b/>
        <w:bCs/>
      </w:rPr>
      <w:tblPr/>
      <w:tcPr>
        <w:shd w:val="clear" w:color="auto" w:fill="FFE599"/>
      </w:tcPr>
    </w:tblStylePr>
    <w:tblStylePr w:type="lastRow">
      <w:rPr>
        <w:b/>
        <w:bCs/>
        <w:color w:val="000000"/>
      </w:rPr>
      <w:tblPr/>
      <w:tcPr>
        <w:shd w:val="clear" w:color="auto" w:fill="FFE599"/>
      </w:tcPr>
    </w:tblStylePr>
    <w:tblStylePr w:type="firstCol">
      <w:rPr>
        <w:color w:val="FFFFFF"/>
      </w:rPr>
      <w:tblPr/>
      <w:tcPr>
        <w:shd w:val="clear" w:color="auto" w:fill="BF8F00"/>
      </w:tcPr>
    </w:tblStylePr>
    <w:tblStylePr w:type="lastCol">
      <w:rPr>
        <w:color w:val="FFFFFF"/>
      </w:rPr>
      <w:tblPr/>
      <w:tcPr>
        <w:shd w:val="clear" w:color="auto" w:fill="BF8F00"/>
      </w:tcPr>
    </w:tblStylePr>
    <w:tblStylePr w:type="band1Vert">
      <w:tblPr/>
      <w:tcPr>
        <w:shd w:val="clear" w:color="auto" w:fill="FFDF80"/>
      </w:tcPr>
    </w:tblStylePr>
    <w:tblStylePr w:type="band1Horz">
      <w:tblPr/>
      <w:tcPr>
        <w:shd w:val="clear" w:color="auto" w:fill="FFDF80"/>
      </w:tcPr>
    </w:tblStylePr>
  </w:style>
  <w:style w:type="table" w:styleId="Kolorowasiatkaakcent5">
    <w:name w:val="Colorful Grid Accent 5"/>
    <w:basedOn w:val="Standardowy"/>
    <w:uiPriority w:val="73"/>
    <w:semiHidden/>
    <w:unhideWhenUsed/>
    <w:rsid w:val="00C70628"/>
    <w:rPr>
      <w:color w:val="000000"/>
    </w:rPr>
    <w:tblPr>
      <w:tblStyleRowBandSize w:val="1"/>
      <w:tblStyleColBandSize w:val="1"/>
      <w:tblBorders>
        <w:insideH w:val="single" w:sz="4" w:space="0" w:color="FFFFFF"/>
      </w:tblBorders>
    </w:tblPr>
    <w:tcPr>
      <w:shd w:val="clear" w:color="auto" w:fill="CEDBF1"/>
    </w:tcPr>
    <w:tblStylePr w:type="firstRow">
      <w:rPr>
        <w:b/>
        <w:bCs/>
      </w:rPr>
      <w:tblPr/>
      <w:tcPr>
        <w:shd w:val="clear" w:color="auto" w:fill="9DB8E3"/>
      </w:tcPr>
    </w:tblStylePr>
    <w:tblStylePr w:type="lastRow">
      <w:rPr>
        <w:b/>
        <w:bCs/>
        <w:color w:val="000000"/>
      </w:rPr>
      <w:tblPr/>
      <w:tcPr>
        <w:shd w:val="clear" w:color="auto" w:fill="9DB8E3"/>
      </w:tcPr>
    </w:tblStylePr>
    <w:tblStylePr w:type="firstCol">
      <w:rPr>
        <w:color w:val="FFFFFF"/>
      </w:rPr>
      <w:tblPr/>
      <w:tcPr>
        <w:shd w:val="clear" w:color="auto" w:fill="204173"/>
      </w:tcPr>
    </w:tblStylePr>
    <w:tblStylePr w:type="lastCol">
      <w:rPr>
        <w:color w:val="FFFFFF"/>
      </w:rPr>
      <w:tblPr/>
      <w:tcPr>
        <w:shd w:val="clear" w:color="auto" w:fill="204173"/>
      </w:tcPr>
    </w:tblStylePr>
    <w:tblStylePr w:type="band1Vert">
      <w:tblPr/>
      <w:tcPr>
        <w:shd w:val="clear" w:color="auto" w:fill="85A7DD"/>
      </w:tcPr>
    </w:tblStylePr>
    <w:tblStylePr w:type="band1Horz">
      <w:tblPr/>
      <w:tcPr>
        <w:shd w:val="clear" w:color="auto" w:fill="85A7DD"/>
      </w:tcPr>
    </w:tblStylePr>
  </w:style>
  <w:style w:type="table" w:styleId="Kolorowasiatkaakcent6">
    <w:name w:val="Colorful Grid Accent 6"/>
    <w:basedOn w:val="Standardowy"/>
    <w:uiPriority w:val="73"/>
    <w:semiHidden/>
    <w:unhideWhenUsed/>
    <w:rsid w:val="00C70628"/>
    <w:rPr>
      <w:color w:val="000000"/>
    </w:rPr>
    <w:tblPr>
      <w:tblStyleRowBandSize w:val="1"/>
      <w:tblStyleColBandSize w:val="1"/>
      <w:tblBorders>
        <w:insideH w:val="single" w:sz="4" w:space="0" w:color="FFFFFF"/>
      </w:tblBorders>
    </w:tblPr>
    <w:tcPr>
      <w:shd w:val="clear" w:color="auto" w:fill="E2EFD9"/>
    </w:tcPr>
    <w:tblStylePr w:type="firstRow">
      <w:rPr>
        <w:b/>
        <w:bCs/>
      </w:rPr>
      <w:tblPr/>
      <w:tcPr>
        <w:shd w:val="clear" w:color="auto" w:fill="C5E0B3"/>
      </w:tcPr>
    </w:tblStylePr>
    <w:tblStylePr w:type="lastRow">
      <w:rPr>
        <w:b/>
        <w:bCs/>
        <w:color w:val="000000"/>
      </w:rPr>
      <w:tblPr/>
      <w:tcPr>
        <w:shd w:val="clear" w:color="auto" w:fill="C5E0B3"/>
      </w:tcPr>
    </w:tblStylePr>
    <w:tblStylePr w:type="firstCol">
      <w:rPr>
        <w:color w:val="FFFFFF"/>
      </w:rPr>
      <w:tblPr/>
      <w:tcPr>
        <w:shd w:val="clear" w:color="auto" w:fill="538135"/>
      </w:tcPr>
    </w:tblStylePr>
    <w:tblStylePr w:type="lastCol">
      <w:rPr>
        <w:color w:val="FFFFFF"/>
      </w:rPr>
      <w:tblPr/>
      <w:tcPr>
        <w:shd w:val="clear" w:color="auto" w:fill="538135"/>
      </w:tcPr>
    </w:tblStylePr>
    <w:tblStylePr w:type="band1Vert">
      <w:tblPr/>
      <w:tcPr>
        <w:shd w:val="clear" w:color="auto" w:fill="B7D8A0"/>
      </w:tcPr>
    </w:tblStylePr>
    <w:tblStylePr w:type="band1Horz">
      <w:tblPr/>
      <w:tcPr>
        <w:shd w:val="clear" w:color="auto" w:fill="B7D8A0"/>
      </w:tcPr>
    </w:tblStylePr>
  </w:style>
  <w:style w:type="table" w:styleId="Kolorowalista">
    <w:name w:val="Colorful List"/>
    <w:basedOn w:val="Standardowy"/>
    <w:uiPriority w:val="72"/>
    <w:semiHidden/>
    <w:unhideWhenUsed/>
    <w:rsid w:val="00C706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CC0000"/>
      </w:tcPr>
    </w:tblStylePr>
    <w:tblStylePr w:type="lastRow">
      <w:rPr>
        <w:b/>
        <w:bCs/>
        <w:color w:val="CC000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72"/>
    <w:semiHidden/>
    <w:unhideWhenUsed/>
    <w:rsid w:val="00C70628"/>
    <w:rPr>
      <w:color w:val="000000"/>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CC0000"/>
      </w:tcPr>
    </w:tblStylePr>
    <w:tblStylePr w:type="lastRow">
      <w:rPr>
        <w:b/>
        <w:bCs/>
        <w:color w:val="CC000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Kolorowalistaakcent2">
    <w:name w:val="Colorful List Accent 2"/>
    <w:basedOn w:val="Standardowy"/>
    <w:uiPriority w:val="72"/>
    <w:semiHidden/>
    <w:unhideWhenUsed/>
    <w:rsid w:val="00C70628"/>
    <w:rPr>
      <w:color w:val="000000"/>
    </w:rPr>
    <w:tblPr>
      <w:tblStyleRowBandSize w:val="1"/>
      <w:tblStyleColBandSize w:val="1"/>
    </w:tblPr>
    <w:tcPr>
      <w:shd w:val="clear" w:color="auto" w:fill="FFE6E6"/>
    </w:tcPr>
    <w:tblStylePr w:type="firstRow">
      <w:rPr>
        <w:b/>
        <w:bCs/>
        <w:color w:val="FFFFFF"/>
      </w:rPr>
      <w:tblPr/>
      <w:tcPr>
        <w:tcBorders>
          <w:bottom w:val="single" w:sz="12" w:space="0" w:color="FFFFFF"/>
        </w:tcBorders>
        <w:shd w:val="clear" w:color="auto" w:fill="CC0000"/>
      </w:tcPr>
    </w:tblStylePr>
    <w:tblStylePr w:type="lastRow">
      <w:rPr>
        <w:b/>
        <w:bCs/>
        <w:color w:val="CC000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0"/>
      </w:tcPr>
    </w:tblStylePr>
    <w:tblStylePr w:type="band1Horz">
      <w:tblPr/>
      <w:tcPr>
        <w:shd w:val="clear" w:color="auto" w:fill="FFCCCC"/>
      </w:tcPr>
    </w:tblStylePr>
  </w:style>
  <w:style w:type="table" w:styleId="Kolorowalistaakcent3">
    <w:name w:val="Colorful List Accent 3"/>
    <w:basedOn w:val="Standardowy"/>
    <w:uiPriority w:val="72"/>
    <w:semiHidden/>
    <w:unhideWhenUsed/>
    <w:rsid w:val="00C70628"/>
    <w:rPr>
      <w:color w:val="000000"/>
    </w:rPr>
    <w:tblPr>
      <w:tblStyleRowBandSize w:val="1"/>
      <w:tblStyleColBandSize w:val="1"/>
    </w:tblPr>
    <w:tcPr>
      <w:shd w:val="clear" w:color="auto" w:fill="F6F6F6"/>
    </w:tcPr>
    <w:tblStylePr w:type="firstRow">
      <w:rPr>
        <w:b/>
        <w:bCs/>
        <w:color w:val="FFFFFF"/>
      </w:rPr>
      <w:tblPr/>
      <w:tcPr>
        <w:tcBorders>
          <w:bottom w:val="single" w:sz="12" w:space="0" w:color="FFFFFF"/>
        </w:tcBorders>
        <w:shd w:val="clear" w:color="auto" w:fill="CC9900"/>
      </w:tcPr>
    </w:tblStylePr>
    <w:tblStylePr w:type="lastRow">
      <w:rPr>
        <w:b/>
        <w:bCs/>
        <w:color w:val="CC990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styleId="Kolorowalistaakcent4">
    <w:name w:val="Colorful List Accent 4"/>
    <w:basedOn w:val="Standardowy"/>
    <w:uiPriority w:val="72"/>
    <w:semiHidden/>
    <w:unhideWhenUsed/>
    <w:rsid w:val="00C70628"/>
    <w:rPr>
      <w:color w:val="000000"/>
    </w:rPr>
    <w:tblPr>
      <w:tblStyleRowBandSize w:val="1"/>
      <w:tblStyleColBandSize w:val="1"/>
    </w:tblPr>
    <w:tcPr>
      <w:shd w:val="clear" w:color="auto" w:fill="FFF8E6"/>
    </w:tcPr>
    <w:tblStylePr w:type="firstRow">
      <w:rPr>
        <w:b/>
        <w:bCs/>
        <w:color w:val="FFFFFF"/>
      </w:rPr>
      <w:tblPr/>
      <w:tcPr>
        <w:tcBorders>
          <w:bottom w:val="single" w:sz="12" w:space="0" w:color="FFFFFF"/>
        </w:tcBorders>
        <w:shd w:val="clear" w:color="auto" w:fill="848484"/>
      </w:tcPr>
    </w:tblStylePr>
    <w:tblStylePr w:type="lastRow">
      <w:rPr>
        <w:b/>
        <w:bCs/>
        <w:color w:val="848484"/>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cPr>
    </w:tblStylePr>
    <w:tblStylePr w:type="band1Horz">
      <w:tblPr/>
      <w:tcPr>
        <w:shd w:val="clear" w:color="auto" w:fill="FFF2CC"/>
      </w:tcPr>
    </w:tblStylePr>
  </w:style>
  <w:style w:type="table" w:styleId="Kolorowalistaakcent5">
    <w:name w:val="Colorful List Accent 5"/>
    <w:basedOn w:val="Standardowy"/>
    <w:uiPriority w:val="72"/>
    <w:semiHidden/>
    <w:unhideWhenUsed/>
    <w:rsid w:val="00C70628"/>
    <w:rPr>
      <w:color w:val="000000"/>
    </w:rPr>
    <w:tblPr>
      <w:tblStyleRowBandSize w:val="1"/>
      <w:tblStyleColBandSize w:val="1"/>
    </w:tblPr>
    <w:tcPr>
      <w:shd w:val="clear" w:color="auto" w:fill="E6EDF8"/>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2D3EE"/>
      </w:tcPr>
    </w:tblStylePr>
    <w:tblStylePr w:type="band1Horz">
      <w:tblPr/>
      <w:tcPr>
        <w:shd w:val="clear" w:color="auto" w:fill="CEDBF1"/>
      </w:tcPr>
    </w:tblStylePr>
  </w:style>
  <w:style w:type="table" w:styleId="Kolorowalistaakcent6">
    <w:name w:val="Colorful List Accent 6"/>
    <w:basedOn w:val="Standardowy"/>
    <w:uiPriority w:val="72"/>
    <w:semiHidden/>
    <w:unhideWhenUsed/>
    <w:rsid w:val="00C70628"/>
    <w:rPr>
      <w:color w:val="000000"/>
    </w:rPr>
    <w:tblPr>
      <w:tblStyleRowBandSize w:val="1"/>
      <w:tblStyleColBandSize w:val="1"/>
    </w:tblPr>
    <w:tcPr>
      <w:shd w:val="clear" w:color="auto" w:fill="F0F7EC"/>
    </w:tcPr>
    <w:tblStylePr w:type="firstRow">
      <w:rPr>
        <w:b/>
        <w:bCs/>
        <w:color w:val="FFFFFF"/>
      </w:rPr>
      <w:tblPr/>
      <w:tcPr>
        <w:tcBorders>
          <w:bottom w:val="single" w:sz="12" w:space="0" w:color="FFFFFF"/>
        </w:tcBorders>
        <w:shd w:val="clear" w:color="auto" w:fill="22457A"/>
      </w:tcPr>
    </w:tblStylePr>
    <w:tblStylePr w:type="lastRow">
      <w:rPr>
        <w:b/>
        <w:bCs/>
        <w:color w:val="22457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cPr>
    </w:tblStylePr>
    <w:tblStylePr w:type="band1Horz">
      <w:tblPr/>
      <w:tcPr>
        <w:shd w:val="clear" w:color="auto" w:fill="E2EFD9"/>
      </w:tcPr>
    </w:tblStylePr>
  </w:style>
  <w:style w:type="table" w:styleId="Kolorowecieniowanie">
    <w:name w:val="Colorful Shading"/>
    <w:basedOn w:val="Standardowy"/>
    <w:uiPriority w:val="71"/>
    <w:semiHidden/>
    <w:unhideWhenUsed/>
    <w:rsid w:val="00C70628"/>
    <w:rPr>
      <w:color w:val="000000"/>
    </w:rPr>
    <w:tblPr>
      <w:tblStyleRowBandSize w:val="1"/>
      <w:tblStyleColBandSize w:val="1"/>
      <w:tblBorders>
        <w:top w:val="single" w:sz="24" w:space="0" w:color="FF0000"/>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FF000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71"/>
    <w:semiHidden/>
    <w:unhideWhenUsed/>
    <w:rsid w:val="00C70628"/>
    <w:rPr>
      <w:color w:val="000000"/>
    </w:rPr>
    <w:tblPr>
      <w:tblStyleRowBandSize w:val="1"/>
      <w:tblStyleColBandSize w:val="1"/>
      <w:tblBorders>
        <w:top w:val="single" w:sz="24" w:space="0" w:color="FF0000"/>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FF000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71"/>
    <w:semiHidden/>
    <w:unhideWhenUsed/>
    <w:rsid w:val="00C70628"/>
    <w:rPr>
      <w:color w:val="000000"/>
    </w:rPr>
    <w:tblPr>
      <w:tblStyleRowBandSize w:val="1"/>
      <w:tblStyleColBandSize w:val="1"/>
      <w:tblBorders>
        <w:top w:val="single" w:sz="24" w:space="0" w:color="FF0000"/>
        <w:left w:val="single" w:sz="4" w:space="0" w:color="FF0000"/>
        <w:bottom w:val="single" w:sz="4" w:space="0" w:color="FF0000"/>
        <w:right w:val="single" w:sz="4" w:space="0" w:color="FF0000"/>
        <w:insideH w:val="single" w:sz="4" w:space="0" w:color="FFFFFF"/>
        <w:insideV w:val="single" w:sz="4" w:space="0" w:color="FFFFFF"/>
      </w:tblBorders>
    </w:tblPr>
    <w:tcPr>
      <w:shd w:val="clear" w:color="auto" w:fill="FFE6E6"/>
    </w:tcPr>
    <w:tblStylePr w:type="firstRow">
      <w:rPr>
        <w:b/>
        <w:bCs/>
      </w:rPr>
      <w:tblPr/>
      <w:tcPr>
        <w:tcBorders>
          <w:top w:val="nil"/>
          <w:left w:val="nil"/>
          <w:bottom w:val="single" w:sz="24" w:space="0" w:color="FF000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90000"/>
      </w:tcPr>
    </w:tblStylePr>
    <w:tblStylePr w:type="firstCol">
      <w:rPr>
        <w:color w:val="FFFFFF"/>
      </w:rPr>
      <w:tblPr/>
      <w:tcPr>
        <w:tcBorders>
          <w:top w:val="nil"/>
          <w:left w:val="nil"/>
          <w:bottom w:val="nil"/>
          <w:right w:val="nil"/>
          <w:insideH w:val="single" w:sz="4" w:space="0" w:color="990000"/>
          <w:insideV w:val="nil"/>
        </w:tcBorders>
        <w:shd w:val="clear" w:color="auto" w:fill="990000"/>
      </w:tcPr>
    </w:tblStylePr>
    <w:tblStylePr w:type="lastCol">
      <w:rPr>
        <w:color w:val="FFFFFF"/>
      </w:rPr>
      <w:tblPr/>
      <w:tcPr>
        <w:tcBorders>
          <w:top w:val="nil"/>
          <w:left w:val="nil"/>
          <w:bottom w:val="nil"/>
          <w:right w:val="nil"/>
          <w:insideH w:val="nil"/>
          <w:insideV w:val="nil"/>
        </w:tcBorders>
        <w:shd w:val="clear" w:color="auto" w:fill="990000"/>
      </w:tcPr>
    </w:tblStylePr>
    <w:tblStylePr w:type="band1Vert">
      <w:tblPr/>
      <w:tcPr>
        <w:shd w:val="clear" w:color="auto" w:fill="FF9999"/>
      </w:tcPr>
    </w:tblStylePr>
    <w:tblStylePr w:type="band1Horz">
      <w:tblPr/>
      <w:tcPr>
        <w:shd w:val="clear" w:color="auto" w:fill="FF808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71"/>
    <w:semiHidden/>
    <w:unhideWhenUsed/>
    <w:rsid w:val="00C70628"/>
    <w:rPr>
      <w:color w:val="000000"/>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tcPr>
      <w:shd w:val="clear" w:color="auto" w:fill="F6F6F6"/>
    </w:tcPr>
    <w:tblStylePr w:type="firstRow">
      <w:rPr>
        <w:b/>
        <w:bCs/>
      </w:rPr>
      <w:tblPr/>
      <w:tcPr>
        <w:tcBorders>
          <w:top w:val="nil"/>
          <w:left w:val="nil"/>
          <w:bottom w:val="single" w:sz="24" w:space="0" w:color="FFC00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36363"/>
      </w:tcPr>
    </w:tblStylePr>
    <w:tblStylePr w:type="firstCol">
      <w:rPr>
        <w:color w:val="FFFFFF"/>
      </w:rPr>
      <w:tblPr/>
      <w:tcPr>
        <w:tcBorders>
          <w:top w:val="nil"/>
          <w:left w:val="nil"/>
          <w:bottom w:val="nil"/>
          <w:right w:val="nil"/>
          <w:insideH w:val="single" w:sz="4" w:space="0" w:color="636363"/>
          <w:insideV w:val="nil"/>
        </w:tcBorders>
        <w:shd w:val="clear" w:color="auto" w:fill="636363"/>
      </w:tcPr>
    </w:tblStylePr>
    <w:tblStylePr w:type="lastCol">
      <w:rPr>
        <w:color w:val="FFFFFF"/>
      </w:rPr>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table" w:styleId="Kolorowecieniowanieakcent4">
    <w:name w:val="Colorful Shading Accent 4"/>
    <w:basedOn w:val="Standardowy"/>
    <w:uiPriority w:val="71"/>
    <w:semiHidden/>
    <w:unhideWhenUsed/>
    <w:rsid w:val="00C70628"/>
    <w:rPr>
      <w:color w:val="000000"/>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tcPr>
      <w:shd w:val="clear" w:color="auto" w:fill="FFF8E6"/>
    </w:tcPr>
    <w:tblStylePr w:type="firstRow">
      <w:rPr>
        <w:b/>
        <w:bCs/>
      </w:rPr>
      <w:tblPr/>
      <w:tcPr>
        <w:tcBorders>
          <w:top w:val="nil"/>
          <w:left w:val="nil"/>
          <w:bottom w:val="single" w:sz="24" w:space="0" w:color="A5A5A5"/>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97300"/>
      </w:tcPr>
    </w:tblStylePr>
    <w:tblStylePr w:type="firstCol">
      <w:rPr>
        <w:color w:val="FFFFFF"/>
      </w:rPr>
      <w:tblPr/>
      <w:tcPr>
        <w:tcBorders>
          <w:top w:val="nil"/>
          <w:left w:val="nil"/>
          <w:bottom w:val="nil"/>
          <w:right w:val="nil"/>
          <w:insideH w:val="single" w:sz="4" w:space="0" w:color="997300"/>
          <w:insideV w:val="nil"/>
        </w:tcBorders>
        <w:shd w:val="clear" w:color="auto" w:fill="997300"/>
      </w:tcPr>
    </w:tblStylePr>
    <w:tblStylePr w:type="lastCol">
      <w:rPr>
        <w:color w:val="FFFFFF"/>
      </w:rPr>
      <w:tblPr/>
      <w:tcPr>
        <w:tcBorders>
          <w:top w:val="nil"/>
          <w:left w:val="nil"/>
          <w:bottom w:val="nil"/>
          <w:right w:val="nil"/>
          <w:insideH w:val="nil"/>
          <w:insideV w:val="nil"/>
        </w:tcBorders>
        <w:shd w:val="clear" w:color="auto" w:fill="997300"/>
      </w:tcPr>
    </w:tblStylePr>
    <w:tblStylePr w:type="band1Vert">
      <w:tblPr/>
      <w:tcPr>
        <w:shd w:val="clear" w:color="auto" w:fill="FFE599"/>
      </w:tcPr>
    </w:tblStylePr>
    <w:tblStylePr w:type="band1Horz">
      <w:tblPr/>
      <w:tcPr>
        <w:shd w:val="clear" w:color="auto" w:fill="FFDF80"/>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71"/>
    <w:semiHidden/>
    <w:unhideWhenUsed/>
    <w:rsid w:val="00C70628"/>
    <w:rPr>
      <w:color w:val="000000"/>
    </w:rPr>
    <w:tblPr>
      <w:tblStyleRowBandSize w:val="1"/>
      <w:tblStyleColBandSize w:val="1"/>
      <w:tblBorders>
        <w:top w:val="single" w:sz="24" w:space="0" w:color="70AD47"/>
        <w:left w:val="single" w:sz="4" w:space="0" w:color="2B579A"/>
        <w:bottom w:val="single" w:sz="4" w:space="0" w:color="2B579A"/>
        <w:right w:val="single" w:sz="4" w:space="0" w:color="2B579A"/>
        <w:insideH w:val="single" w:sz="4" w:space="0" w:color="FFFFFF"/>
        <w:insideV w:val="single" w:sz="4" w:space="0" w:color="FFFFFF"/>
      </w:tblBorders>
    </w:tblPr>
    <w:tcPr>
      <w:shd w:val="clear" w:color="auto" w:fill="E6EDF8"/>
    </w:tcPr>
    <w:tblStylePr w:type="firstRow">
      <w:rPr>
        <w:b/>
        <w:bCs/>
      </w:rPr>
      <w:tblPr/>
      <w:tcPr>
        <w:tcBorders>
          <w:top w:val="nil"/>
          <w:left w:val="nil"/>
          <w:bottom w:val="single" w:sz="24" w:space="0" w:color="70AD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19345C"/>
      </w:tcPr>
    </w:tblStylePr>
    <w:tblStylePr w:type="firstCol">
      <w:rPr>
        <w:color w:val="FFFFFF"/>
      </w:rPr>
      <w:tblPr/>
      <w:tcPr>
        <w:tcBorders>
          <w:top w:val="nil"/>
          <w:left w:val="nil"/>
          <w:bottom w:val="nil"/>
          <w:right w:val="nil"/>
          <w:insideH w:val="single" w:sz="4" w:space="0" w:color="19345C"/>
          <w:insideV w:val="nil"/>
        </w:tcBorders>
        <w:shd w:val="clear" w:color="auto" w:fill="19345C"/>
      </w:tcPr>
    </w:tblStylePr>
    <w:tblStylePr w:type="lastCol">
      <w:rPr>
        <w:color w:val="FFFFFF"/>
      </w:rPr>
      <w:tblPr/>
      <w:tcPr>
        <w:tcBorders>
          <w:top w:val="nil"/>
          <w:left w:val="nil"/>
          <w:bottom w:val="nil"/>
          <w:right w:val="nil"/>
          <w:insideH w:val="nil"/>
          <w:insideV w:val="nil"/>
        </w:tcBorders>
        <w:shd w:val="clear" w:color="auto" w:fill="19345C"/>
      </w:tcPr>
    </w:tblStylePr>
    <w:tblStylePr w:type="band1Vert">
      <w:tblPr/>
      <w:tcPr>
        <w:shd w:val="clear" w:color="auto" w:fill="9DB8E3"/>
      </w:tcPr>
    </w:tblStylePr>
    <w:tblStylePr w:type="band1Horz">
      <w:tblPr/>
      <w:tcPr>
        <w:shd w:val="clear" w:color="auto" w:fill="85A7DD"/>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71"/>
    <w:semiHidden/>
    <w:unhideWhenUsed/>
    <w:rsid w:val="00C70628"/>
    <w:rPr>
      <w:color w:val="000000"/>
    </w:rPr>
    <w:tblPr>
      <w:tblStyleRowBandSize w:val="1"/>
      <w:tblStyleColBandSize w:val="1"/>
      <w:tblBorders>
        <w:top w:val="single" w:sz="24" w:space="0" w:color="2B579A"/>
        <w:left w:val="single" w:sz="4" w:space="0" w:color="70AD47"/>
        <w:bottom w:val="single" w:sz="4" w:space="0" w:color="70AD47"/>
        <w:right w:val="single" w:sz="4" w:space="0" w:color="70AD47"/>
        <w:insideH w:val="single" w:sz="4" w:space="0" w:color="FFFFFF"/>
        <w:insideV w:val="single" w:sz="4" w:space="0" w:color="FFFFFF"/>
      </w:tblBorders>
    </w:tblPr>
    <w:tcPr>
      <w:shd w:val="clear" w:color="auto" w:fill="F0F7EC"/>
    </w:tcPr>
    <w:tblStylePr w:type="firstRow">
      <w:rPr>
        <w:b/>
        <w:bCs/>
      </w:rPr>
      <w:tblPr/>
      <w:tcPr>
        <w:tcBorders>
          <w:top w:val="nil"/>
          <w:left w:val="nil"/>
          <w:bottom w:val="single" w:sz="24" w:space="0" w:color="2B579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672A"/>
      </w:tcPr>
    </w:tblStylePr>
    <w:tblStylePr w:type="firstCol">
      <w:rPr>
        <w:color w:val="FFFFFF"/>
      </w:rPr>
      <w:tblPr/>
      <w:tcPr>
        <w:tcBorders>
          <w:top w:val="nil"/>
          <w:left w:val="nil"/>
          <w:bottom w:val="nil"/>
          <w:right w:val="nil"/>
          <w:insideH w:val="single" w:sz="4" w:space="0" w:color="43672A"/>
          <w:insideV w:val="nil"/>
        </w:tcBorders>
        <w:shd w:val="clear" w:color="auto" w:fill="43672A"/>
      </w:tcPr>
    </w:tblStylePr>
    <w:tblStylePr w:type="lastCol">
      <w:rPr>
        <w:color w:val="FFFFFF"/>
      </w:rPr>
      <w:tblPr/>
      <w:tcPr>
        <w:tcBorders>
          <w:top w:val="nil"/>
          <w:left w:val="nil"/>
          <w:bottom w:val="nil"/>
          <w:right w:val="nil"/>
          <w:insideH w:val="nil"/>
          <w:insideV w:val="nil"/>
        </w:tcBorders>
        <w:shd w:val="clear" w:color="auto" w:fill="43672A"/>
      </w:tcPr>
    </w:tblStylePr>
    <w:tblStylePr w:type="band1Vert">
      <w:tblPr/>
      <w:tcPr>
        <w:shd w:val="clear" w:color="auto" w:fill="C5E0B3"/>
      </w:tcPr>
    </w:tblStylePr>
    <w:tblStylePr w:type="band1Horz">
      <w:tblPr/>
      <w:tcPr>
        <w:shd w:val="clear" w:color="auto" w:fill="B7D8A0"/>
      </w:tcPr>
    </w:tblStylePr>
    <w:tblStylePr w:type="neCell">
      <w:rPr>
        <w:color w:val="000000"/>
      </w:rPr>
    </w:tblStylePr>
    <w:tblStylePr w:type="nwCell">
      <w:rPr>
        <w:color w:val="000000"/>
      </w:rPr>
    </w:tblStylePr>
  </w:style>
  <w:style w:type="table" w:styleId="Ciemnalista">
    <w:name w:val="Dark List"/>
    <w:basedOn w:val="Standardowy"/>
    <w:uiPriority w:val="70"/>
    <w:semiHidden/>
    <w:unhideWhenUsed/>
    <w:rsid w:val="00C706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70"/>
    <w:semiHidden/>
    <w:unhideWhenUsed/>
    <w:rsid w:val="00C70628"/>
    <w:rPr>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styleId="Ciemnalistaakcent2">
    <w:name w:val="Dark List Accent 2"/>
    <w:basedOn w:val="Standardowy"/>
    <w:uiPriority w:val="70"/>
    <w:semiHidden/>
    <w:unhideWhenUsed/>
    <w:rsid w:val="00C70628"/>
    <w:rPr>
      <w:color w:val="FFFFFF"/>
    </w:rPr>
    <w:tblPr>
      <w:tblStyleRowBandSize w:val="1"/>
      <w:tblStyleColBandSize w:val="1"/>
    </w:tblPr>
    <w:tcPr>
      <w:shd w:val="clear" w:color="auto" w:fill="FF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0000"/>
      </w:tcPr>
    </w:tblStylePr>
    <w:tblStylePr w:type="firstCol">
      <w:tblPr/>
      <w:tcPr>
        <w:tcBorders>
          <w:top w:val="nil"/>
          <w:left w:val="nil"/>
          <w:bottom w:val="nil"/>
          <w:right w:val="single" w:sz="18" w:space="0" w:color="FFFFFF"/>
          <w:insideH w:val="nil"/>
          <w:insideV w:val="nil"/>
        </w:tcBorders>
        <w:shd w:val="clear" w:color="auto" w:fill="BF0000"/>
      </w:tcPr>
    </w:tblStylePr>
    <w:tblStylePr w:type="lastCol">
      <w:tblPr/>
      <w:tcPr>
        <w:tcBorders>
          <w:top w:val="nil"/>
          <w:left w:val="single" w:sz="18" w:space="0" w:color="FFFFFF"/>
          <w:bottom w:val="nil"/>
          <w:right w:val="nil"/>
          <w:insideH w:val="nil"/>
          <w:insideV w:val="nil"/>
        </w:tcBorders>
        <w:shd w:val="clear" w:color="auto" w:fill="BF0000"/>
      </w:tcPr>
    </w:tblStylePr>
    <w:tblStylePr w:type="band1Vert">
      <w:tblPr/>
      <w:tcPr>
        <w:tcBorders>
          <w:top w:val="nil"/>
          <w:left w:val="nil"/>
          <w:bottom w:val="nil"/>
          <w:right w:val="nil"/>
          <w:insideH w:val="nil"/>
          <w:insideV w:val="nil"/>
        </w:tcBorders>
        <w:shd w:val="clear" w:color="auto" w:fill="BF0000"/>
      </w:tcPr>
    </w:tblStylePr>
    <w:tblStylePr w:type="band1Horz">
      <w:tblPr/>
      <w:tcPr>
        <w:tcBorders>
          <w:top w:val="nil"/>
          <w:left w:val="nil"/>
          <w:bottom w:val="nil"/>
          <w:right w:val="nil"/>
          <w:insideH w:val="nil"/>
          <w:insideV w:val="nil"/>
        </w:tcBorders>
        <w:shd w:val="clear" w:color="auto" w:fill="BF0000"/>
      </w:tcPr>
    </w:tblStylePr>
  </w:style>
  <w:style w:type="table" w:styleId="Ciemnalistaakcent3">
    <w:name w:val="Dark List Accent 3"/>
    <w:basedOn w:val="Standardowy"/>
    <w:uiPriority w:val="70"/>
    <w:semiHidden/>
    <w:unhideWhenUsed/>
    <w:rsid w:val="00C70628"/>
    <w:rPr>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styleId="Ciemnalistaakcent4">
    <w:name w:val="Dark List Accent 4"/>
    <w:basedOn w:val="Standardowy"/>
    <w:uiPriority w:val="70"/>
    <w:semiHidden/>
    <w:unhideWhenUsed/>
    <w:rsid w:val="00C70628"/>
    <w:rPr>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styleId="Ciemnalistaakcent5">
    <w:name w:val="Dark List Accent 5"/>
    <w:basedOn w:val="Standardowy"/>
    <w:uiPriority w:val="70"/>
    <w:semiHidden/>
    <w:unhideWhenUsed/>
    <w:rsid w:val="00C70628"/>
    <w:rPr>
      <w:color w:val="FFFFFF"/>
    </w:rPr>
    <w:tblPr>
      <w:tblStyleRowBandSize w:val="1"/>
      <w:tblStyleColBandSize w:val="1"/>
    </w:tblPr>
    <w:tcPr>
      <w:shd w:val="clear" w:color="auto" w:fill="2B579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52B4C"/>
      </w:tcPr>
    </w:tblStylePr>
    <w:tblStylePr w:type="firstCol">
      <w:tblPr/>
      <w:tcPr>
        <w:tcBorders>
          <w:top w:val="nil"/>
          <w:left w:val="nil"/>
          <w:bottom w:val="nil"/>
          <w:right w:val="single" w:sz="18" w:space="0" w:color="FFFFFF"/>
          <w:insideH w:val="nil"/>
          <w:insideV w:val="nil"/>
        </w:tcBorders>
        <w:shd w:val="clear" w:color="auto" w:fill="204173"/>
      </w:tcPr>
    </w:tblStylePr>
    <w:tblStylePr w:type="lastCol">
      <w:tblPr/>
      <w:tcPr>
        <w:tcBorders>
          <w:top w:val="nil"/>
          <w:left w:val="single" w:sz="18" w:space="0" w:color="FFFFFF"/>
          <w:bottom w:val="nil"/>
          <w:right w:val="nil"/>
          <w:insideH w:val="nil"/>
          <w:insideV w:val="nil"/>
        </w:tcBorders>
        <w:shd w:val="clear" w:color="auto" w:fill="204173"/>
      </w:tcPr>
    </w:tblStylePr>
    <w:tblStylePr w:type="band1Vert">
      <w:tblPr/>
      <w:tcPr>
        <w:tcBorders>
          <w:top w:val="nil"/>
          <w:left w:val="nil"/>
          <w:bottom w:val="nil"/>
          <w:right w:val="nil"/>
          <w:insideH w:val="nil"/>
          <w:insideV w:val="nil"/>
        </w:tcBorders>
        <w:shd w:val="clear" w:color="auto" w:fill="204173"/>
      </w:tcPr>
    </w:tblStylePr>
    <w:tblStylePr w:type="band1Horz">
      <w:tblPr/>
      <w:tcPr>
        <w:tcBorders>
          <w:top w:val="nil"/>
          <w:left w:val="nil"/>
          <w:bottom w:val="nil"/>
          <w:right w:val="nil"/>
          <w:insideH w:val="nil"/>
          <w:insideV w:val="nil"/>
        </w:tcBorders>
        <w:shd w:val="clear" w:color="auto" w:fill="204173"/>
      </w:tcPr>
    </w:tblStylePr>
  </w:style>
  <w:style w:type="table" w:styleId="Ciemnalistaakcent6">
    <w:name w:val="Dark List Accent 6"/>
    <w:basedOn w:val="Standardowy"/>
    <w:uiPriority w:val="70"/>
    <w:semiHidden/>
    <w:unhideWhenUsed/>
    <w:rsid w:val="00C70628"/>
    <w:rPr>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paragraph" w:styleId="Data">
    <w:name w:val="Date"/>
    <w:basedOn w:val="Normalny"/>
    <w:next w:val="Normalny"/>
    <w:link w:val="DataZnak"/>
    <w:uiPriority w:val="99"/>
    <w:semiHidden/>
    <w:unhideWhenUsed/>
    <w:rsid w:val="00C70628"/>
  </w:style>
  <w:style w:type="character" w:customStyle="1" w:styleId="DataZnak">
    <w:name w:val="Data Znak"/>
    <w:link w:val="Data"/>
    <w:uiPriority w:val="99"/>
    <w:semiHidden/>
    <w:rsid w:val="00C70628"/>
    <w:rPr>
      <w:rFonts w:ascii="Segoe UI" w:hAnsi="Segoe UI" w:cs="Segoe UI"/>
    </w:rPr>
  </w:style>
  <w:style w:type="paragraph" w:styleId="Mapadokumentu">
    <w:name w:val="Document Map"/>
    <w:basedOn w:val="Normalny"/>
    <w:link w:val="MapadokumentuZnak"/>
    <w:uiPriority w:val="99"/>
    <w:semiHidden/>
    <w:unhideWhenUsed/>
    <w:rsid w:val="00C70628"/>
    <w:pPr>
      <w:spacing w:before="0" w:line="240" w:lineRule="auto"/>
    </w:pPr>
    <w:rPr>
      <w:szCs w:val="16"/>
    </w:rPr>
  </w:style>
  <w:style w:type="character" w:customStyle="1" w:styleId="MapadokumentuZnak">
    <w:name w:val="Mapa dokumentu Znak"/>
    <w:link w:val="Mapadokumentu"/>
    <w:uiPriority w:val="99"/>
    <w:semiHidden/>
    <w:rsid w:val="00C70628"/>
    <w:rPr>
      <w:rFonts w:ascii="Segoe UI" w:hAnsi="Segoe UI" w:cs="Segoe UI"/>
      <w:szCs w:val="16"/>
    </w:rPr>
  </w:style>
  <w:style w:type="paragraph" w:styleId="Podpise-mail">
    <w:name w:val="E-mail Signature"/>
    <w:basedOn w:val="Normalny"/>
    <w:link w:val="Podpise-mailZnak"/>
    <w:uiPriority w:val="99"/>
    <w:semiHidden/>
    <w:unhideWhenUsed/>
    <w:rsid w:val="00C70628"/>
    <w:pPr>
      <w:spacing w:before="0" w:line="240" w:lineRule="auto"/>
    </w:pPr>
  </w:style>
  <w:style w:type="character" w:customStyle="1" w:styleId="Podpise-mailZnak">
    <w:name w:val="Podpis e-mail Znak"/>
    <w:link w:val="Podpise-mail"/>
    <w:uiPriority w:val="99"/>
    <w:semiHidden/>
    <w:rsid w:val="00C70628"/>
    <w:rPr>
      <w:rFonts w:ascii="Segoe UI" w:hAnsi="Segoe UI" w:cs="Segoe UI"/>
    </w:rPr>
  </w:style>
  <w:style w:type="character" w:styleId="Odwoanieprzypisukocowego">
    <w:name w:val="endnote reference"/>
    <w:uiPriority w:val="99"/>
    <w:semiHidden/>
    <w:unhideWhenUsed/>
    <w:rsid w:val="00C70628"/>
    <w:rPr>
      <w:rFonts w:ascii="Segoe UI" w:hAnsi="Segoe UI" w:cs="Segoe UI"/>
      <w:vertAlign w:val="superscript"/>
    </w:rPr>
  </w:style>
  <w:style w:type="paragraph" w:styleId="Tekstprzypisukocowego">
    <w:name w:val="endnote text"/>
    <w:basedOn w:val="Normalny"/>
    <w:link w:val="TekstprzypisukocowegoZnak"/>
    <w:uiPriority w:val="99"/>
    <w:semiHidden/>
    <w:unhideWhenUsed/>
    <w:rsid w:val="00C70628"/>
    <w:pPr>
      <w:spacing w:before="0" w:line="240" w:lineRule="auto"/>
    </w:pPr>
    <w:rPr>
      <w:szCs w:val="20"/>
    </w:rPr>
  </w:style>
  <w:style w:type="character" w:customStyle="1" w:styleId="TekstprzypisukocowegoZnak">
    <w:name w:val="Tekst przypisu końcowego Znak"/>
    <w:link w:val="Tekstprzypisukocowego"/>
    <w:uiPriority w:val="99"/>
    <w:semiHidden/>
    <w:rsid w:val="00C70628"/>
    <w:rPr>
      <w:rFonts w:ascii="Segoe UI" w:hAnsi="Segoe UI" w:cs="Segoe UI"/>
      <w:szCs w:val="20"/>
    </w:rPr>
  </w:style>
  <w:style w:type="paragraph" w:styleId="Adresnakopercie">
    <w:name w:val="envelope address"/>
    <w:basedOn w:val="Normalny"/>
    <w:uiPriority w:val="99"/>
    <w:semiHidden/>
    <w:unhideWhenUsed/>
    <w:rsid w:val="00C70628"/>
    <w:pPr>
      <w:framePr w:w="7920" w:h="1980" w:hRule="exact" w:hSpace="180" w:wrap="auto" w:hAnchor="page" w:xAlign="center" w:yAlign="bottom"/>
      <w:spacing w:before="0" w:line="240" w:lineRule="auto"/>
      <w:ind w:left="2880"/>
    </w:pPr>
    <w:rPr>
      <w:rFonts w:ascii="Segoe UI Light" w:eastAsia="MS Gothic" w:hAnsi="Segoe UI Light" w:cs="Segoe UI Light"/>
      <w:sz w:val="24"/>
      <w:szCs w:val="24"/>
    </w:rPr>
  </w:style>
  <w:style w:type="paragraph" w:styleId="Adreszwrotnynakopercie">
    <w:name w:val="envelope return"/>
    <w:basedOn w:val="Normalny"/>
    <w:uiPriority w:val="99"/>
    <w:semiHidden/>
    <w:unhideWhenUsed/>
    <w:rsid w:val="00C70628"/>
    <w:pPr>
      <w:spacing w:before="0" w:line="240" w:lineRule="auto"/>
    </w:pPr>
    <w:rPr>
      <w:rFonts w:ascii="Segoe UI Light" w:eastAsia="MS Gothic" w:hAnsi="Segoe UI Light" w:cs="Segoe UI Light"/>
      <w:szCs w:val="20"/>
    </w:rPr>
  </w:style>
  <w:style w:type="character" w:styleId="Odwoanieprzypisudolnego">
    <w:name w:val="footnote reference"/>
    <w:uiPriority w:val="99"/>
    <w:semiHidden/>
    <w:unhideWhenUsed/>
    <w:rsid w:val="00C70628"/>
    <w:rPr>
      <w:rFonts w:ascii="Segoe UI" w:hAnsi="Segoe UI" w:cs="Segoe UI"/>
      <w:vertAlign w:val="superscript"/>
    </w:rPr>
  </w:style>
  <w:style w:type="paragraph" w:styleId="Tekstprzypisudolnego">
    <w:name w:val="footnote text"/>
    <w:basedOn w:val="Normalny"/>
    <w:link w:val="TekstprzypisudolnegoZnak"/>
    <w:uiPriority w:val="99"/>
    <w:semiHidden/>
    <w:unhideWhenUsed/>
    <w:rsid w:val="00C70628"/>
    <w:pPr>
      <w:spacing w:before="0" w:line="240" w:lineRule="auto"/>
    </w:pPr>
    <w:rPr>
      <w:szCs w:val="20"/>
    </w:rPr>
  </w:style>
  <w:style w:type="character" w:customStyle="1" w:styleId="TekstprzypisudolnegoZnak">
    <w:name w:val="Tekst przypisu dolnego Znak"/>
    <w:link w:val="Tekstprzypisudolnego"/>
    <w:uiPriority w:val="99"/>
    <w:semiHidden/>
    <w:rsid w:val="00C70628"/>
    <w:rPr>
      <w:rFonts w:ascii="Segoe UI" w:hAnsi="Segoe UI" w:cs="Segoe UI"/>
      <w:szCs w:val="20"/>
    </w:rPr>
  </w:style>
  <w:style w:type="table" w:styleId="Tabelasiatki1jasnaakcent2">
    <w:name w:val="Grid Table 1 Light Accent 2"/>
    <w:basedOn w:val="Standardowy"/>
    <w:uiPriority w:val="46"/>
    <w:rsid w:val="00C70628"/>
    <w:tblPr>
      <w:tblStyleRowBandSize w:val="1"/>
      <w:tblStyleColBandSize w:val="1"/>
      <w:tblBorders>
        <w:top w:val="single" w:sz="4" w:space="0" w:color="FF9999"/>
        <w:left w:val="single" w:sz="4" w:space="0" w:color="FF9999"/>
        <w:bottom w:val="single" w:sz="4" w:space="0" w:color="FF9999"/>
        <w:right w:val="single" w:sz="4" w:space="0" w:color="FF9999"/>
        <w:insideH w:val="single" w:sz="4" w:space="0" w:color="FF9999"/>
        <w:insideV w:val="single" w:sz="4" w:space="0" w:color="FF9999"/>
      </w:tblBorders>
    </w:tblPr>
    <w:tblStylePr w:type="firstRow">
      <w:rPr>
        <w:b/>
        <w:bCs/>
      </w:rPr>
      <w:tblPr/>
      <w:tcPr>
        <w:tcBorders>
          <w:bottom w:val="single" w:sz="12" w:space="0" w:color="FF6666"/>
        </w:tcBorders>
      </w:tcPr>
    </w:tblStylePr>
    <w:tblStylePr w:type="lastRow">
      <w:rPr>
        <w:b/>
        <w:bCs/>
      </w:rPr>
      <w:tblPr/>
      <w:tcPr>
        <w:tcBorders>
          <w:top w:val="double" w:sz="2" w:space="0" w:color="FF6666"/>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rsid w:val="00C70628"/>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rsid w:val="00C70628"/>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rsid w:val="00C70628"/>
    <w:tblPr>
      <w:tblStyleRowBandSize w:val="1"/>
      <w:tblStyleColBandSize w:val="1"/>
      <w:tblBorders>
        <w:top w:val="single" w:sz="4" w:space="0" w:color="9DB8E3"/>
        <w:left w:val="single" w:sz="4" w:space="0" w:color="9DB8E3"/>
        <w:bottom w:val="single" w:sz="4" w:space="0" w:color="9DB8E3"/>
        <w:right w:val="single" w:sz="4" w:space="0" w:color="9DB8E3"/>
        <w:insideH w:val="single" w:sz="4" w:space="0" w:color="9DB8E3"/>
        <w:insideV w:val="single" w:sz="4" w:space="0" w:color="9DB8E3"/>
      </w:tblBorders>
    </w:tblPr>
    <w:tblStylePr w:type="firstRow">
      <w:rPr>
        <w:b/>
        <w:bCs/>
      </w:rPr>
      <w:tblPr/>
      <w:tcPr>
        <w:tcBorders>
          <w:bottom w:val="single" w:sz="12" w:space="0" w:color="6C95D6"/>
        </w:tcBorders>
      </w:tcPr>
    </w:tblStylePr>
    <w:tblStylePr w:type="lastRow">
      <w:rPr>
        <w:b/>
        <w:bCs/>
      </w:rPr>
      <w:tblPr/>
      <w:tcPr>
        <w:tcBorders>
          <w:top w:val="double" w:sz="2" w:space="0" w:color="6C95D6"/>
        </w:tcBorders>
      </w:tcPr>
    </w:tblStylePr>
    <w:tblStylePr w:type="firstCol">
      <w:rPr>
        <w:b/>
        <w:bCs/>
      </w:rPr>
    </w:tblStylePr>
    <w:tblStylePr w:type="lastCol">
      <w:rPr>
        <w:b/>
        <w:bCs/>
      </w:rPr>
    </w:tblStylePr>
  </w:style>
  <w:style w:type="table" w:styleId="Tabelasiatki2">
    <w:name w:val="Grid Table 2"/>
    <w:basedOn w:val="Standardowy"/>
    <w:uiPriority w:val="47"/>
    <w:rsid w:val="00C70628"/>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elasiatki2akcent1">
    <w:name w:val="Grid Table 2 Accent 1"/>
    <w:basedOn w:val="Standardowy"/>
    <w:uiPriority w:val="47"/>
    <w:rsid w:val="00C70628"/>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siatki2akcent2">
    <w:name w:val="Grid Table 2 Accent 2"/>
    <w:basedOn w:val="Standardowy"/>
    <w:uiPriority w:val="47"/>
    <w:rsid w:val="00C70628"/>
    <w:tblPr>
      <w:tblStyleRowBandSize w:val="1"/>
      <w:tblStyleColBandSize w:val="1"/>
      <w:tblBorders>
        <w:top w:val="single" w:sz="2" w:space="0" w:color="FF6666"/>
        <w:bottom w:val="single" w:sz="2" w:space="0" w:color="FF6666"/>
        <w:insideH w:val="single" w:sz="2" w:space="0" w:color="FF6666"/>
        <w:insideV w:val="single" w:sz="2" w:space="0" w:color="FF6666"/>
      </w:tblBorders>
    </w:tblPr>
    <w:tblStylePr w:type="firstRow">
      <w:rPr>
        <w:b/>
        <w:bCs/>
      </w:rPr>
      <w:tblPr/>
      <w:tcPr>
        <w:tcBorders>
          <w:top w:val="nil"/>
          <w:bottom w:val="single" w:sz="12" w:space="0" w:color="FF6666"/>
          <w:insideH w:val="nil"/>
          <w:insideV w:val="nil"/>
        </w:tcBorders>
        <w:shd w:val="clear" w:color="auto" w:fill="FFFFFF"/>
      </w:tcPr>
    </w:tblStylePr>
    <w:tblStylePr w:type="lastRow">
      <w:rPr>
        <w:b/>
        <w:bCs/>
      </w:rPr>
      <w:tblPr/>
      <w:tcPr>
        <w:tcBorders>
          <w:top w:val="double" w:sz="2" w:space="0" w:color="FF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CCCC"/>
      </w:tcPr>
    </w:tblStylePr>
    <w:tblStylePr w:type="band1Horz">
      <w:tblPr/>
      <w:tcPr>
        <w:shd w:val="clear" w:color="auto" w:fill="FFCCCC"/>
      </w:tcPr>
    </w:tblStylePr>
  </w:style>
  <w:style w:type="table" w:styleId="Tabelasiatki2akcent3">
    <w:name w:val="Grid Table 2 Accent 3"/>
    <w:basedOn w:val="Standardowy"/>
    <w:uiPriority w:val="47"/>
    <w:rsid w:val="00C70628"/>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siatki2akcent4">
    <w:name w:val="Grid Table 2 Accent 4"/>
    <w:basedOn w:val="Standardowy"/>
    <w:uiPriority w:val="47"/>
    <w:rsid w:val="00C70628"/>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elasiatki2akcent5">
    <w:name w:val="Grid Table 2 Accent 5"/>
    <w:basedOn w:val="Standardowy"/>
    <w:uiPriority w:val="47"/>
    <w:rsid w:val="00C70628"/>
    <w:tblPr>
      <w:tblStyleRowBandSize w:val="1"/>
      <w:tblStyleColBandSize w:val="1"/>
      <w:tblBorders>
        <w:top w:val="single" w:sz="2" w:space="0" w:color="6C95D6"/>
        <w:bottom w:val="single" w:sz="2" w:space="0" w:color="6C95D6"/>
        <w:insideH w:val="single" w:sz="2" w:space="0" w:color="6C95D6"/>
        <w:insideV w:val="single" w:sz="2" w:space="0" w:color="6C95D6"/>
      </w:tblBorders>
    </w:tblPr>
    <w:tblStylePr w:type="firstRow">
      <w:rPr>
        <w:b/>
        <w:bCs/>
      </w:rPr>
      <w:tblPr/>
      <w:tcPr>
        <w:tcBorders>
          <w:top w:val="nil"/>
          <w:bottom w:val="single" w:sz="12" w:space="0" w:color="6C95D6"/>
          <w:insideH w:val="nil"/>
          <w:insideV w:val="nil"/>
        </w:tcBorders>
        <w:shd w:val="clear" w:color="auto" w:fill="FFFFFF"/>
      </w:tcPr>
    </w:tblStylePr>
    <w:tblStylePr w:type="lastRow">
      <w:rPr>
        <w:b/>
        <w:bCs/>
      </w:rPr>
      <w:tblPr/>
      <w:tcPr>
        <w:tcBorders>
          <w:top w:val="double" w:sz="2" w:space="0" w:color="6C95D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EDBF1"/>
      </w:tcPr>
    </w:tblStylePr>
    <w:tblStylePr w:type="band1Horz">
      <w:tblPr/>
      <w:tcPr>
        <w:shd w:val="clear" w:color="auto" w:fill="CEDBF1"/>
      </w:tcPr>
    </w:tblStylePr>
  </w:style>
  <w:style w:type="table" w:styleId="Tabelasiatki2akcent6">
    <w:name w:val="Grid Table 2 Accent 6"/>
    <w:basedOn w:val="Standardowy"/>
    <w:uiPriority w:val="47"/>
    <w:rsid w:val="00C70628"/>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siatki3">
    <w:name w:val="Grid Table 3"/>
    <w:basedOn w:val="Standardowy"/>
    <w:uiPriority w:val="48"/>
    <w:rsid w:val="00C70628"/>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Tabelasiatki3akcent1">
    <w:name w:val="Grid Table 3 Accent 1"/>
    <w:basedOn w:val="Standardowy"/>
    <w:uiPriority w:val="48"/>
    <w:rsid w:val="00C706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siatki3akcent2">
    <w:name w:val="Grid Table 3 Accent 2"/>
    <w:basedOn w:val="Standardowy"/>
    <w:uiPriority w:val="48"/>
    <w:rsid w:val="00C70628"/>
    <w:tblPr>
      <w:tblStyleRowBandSize w:val="1"/>
      <w:tblStyleColBandSize w:val="1"/>
      <w:tblBorders>
        <w:top w:val="single" w:sz="4" w:space="0" w:color="FF6666"/>
        <w:left w:val="single" w:sz="4" w:space="0" w:color="FF6666"/>
        <w:bottom w:val="single" w:sz="4" w:space="0" w:color="FF6666"/>
        <w:right w:val="single" w:sz="4" w:space="0" w:color="FF6666"/>
        <w:insideH w:val="single" w:sz="4" w:space="0" w:color="FF6666"/>
        <w:insideV w:val="single" w:sz="4" w:space="0" w:color="FF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CCCC"/>
      </w:tcPr>
    </w:tblStylePr>
    <w:tblStylePr w:type="band1Horz">
      <w:tblPr/>
      <w:tcPr>
        <w:shd w:val="clear" w:color="auto" w:fill="FFCCCC"/>
      </w:tcPr>
    </w:tblStylePr>
    <w:tblStylePr w:type="neCell">
      <w:tblPr/>
      <w:tcPr>
        <w:tcBorders>
          <w:bottom w:val="single" w:sz="4" w:space="0" w:color="FF6666"/>
        </w:tcBorders>
      </w:tcPr>
    </w:tblStylePr>
    <w:tblStylePr w:type="nwCell">
      <w:tblPr/>
      <w:tcPr>
        <w:tcBorders>
          <w:bottom w:val="single" w:sz="4" w:space="0" w:color="FF6666"/>
        </w:tcBorders>
      </w:tcPr>
    </w:tblStylePr>
    <w:tblStylePr w:type="seCell">
      <w:tblPr/>
      <w:tcPr>
        <w:tcBorders>
          <w:top w:val="single" w:sz="4" w:space="0" w:color="FF6666"/>
        </w:tcBorders>
      </w:tcPr>
    </w:tblStylePr>
    <w:tblStylePr w:type="swCell">
      <w:tblPr/>
      <w:tcPr>
        <w:tcBorders>
          <w:top w:val="single" w:sz="4" w:space="0" w:color="FF6666"/>
        </w:tcBorders>
      </w:tcPr>
    </w:tblStylePr>
  </w:style>
  <w:style w:type="table" w:styleId="Tabelasiatki3akcent3">
    <w:name w:val="Grid Table 3 Accent 3"/>
    <w:basedOn w:val="Standardowy"/>
    <w:uiPriority w:val="48"/>
    <w:rsid w:val="00C70628"/>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Tabelasiatki3akcent4">
    <w:name w:val="Grid Table 3 Accent 4"/>
    <w:basedOn w:val="Standardowy"/>
    <w:uiPriority w:val="48"/>
    <w:rsid w:val="00C70628"/>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elasiatki3akcent5">
    <w:name w:val="Grid Table 3 Accent 5"/>
    <w:basedOn w:val="Standardowy"/>
    <w:uiPriority w:val="48"/>
    <w:rsid w:val="00C70628"/>
    <w:tblPr>
      <w:tblStyleRowBandSize w:val="1"/>
      <w:tblStyleColBandSize w:val="1"/>
      <w:tblBorders>
        <w:top w:val="single" w:sz="4" w:space="0" w:color="6C95D6"/>
        <w:left w:val="single" w:sz="4" w:space="0" w:color="6C95D6"/>
        <w:bottom w:val="single" w:sz="4" w:space="0" w:color="6C95D6"/>
        <w:right w:val="single" w:sz="4" w:space="0" w:color="6C95D6"/>
        <w:insideH w:val="single" w:sz="4" w:space="0" w:color="6C95D6"/>
        <w:insideV w:val="single" w:sz="4" w:space="0" w:color="6C95D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EDBF1"/>
      </w:tcPr>
    </w:tblStylePr>
    <w:tblStylePr w:type="band1Horz">
      <w:tblPr/>
      <w:tcPr>
        <w:shd w:val="clear" w:color="auto" w:fill="CEDBF1"/>
      </w:tcPr>
    </w:tblStylePr>
    <w:tblStylePr w:type="neCell">
      <w:tblPr/>
      <w:tcPr>
        <w:tcBorders>
          <w:bottom w:val="single" w:sz="4" w:space="0" w:color="6C95D6"/>
        </w:tcBorders>
      </w:tcPr>
    </w:tblStylePr>
    <w:tblStylePr w:type="nwCell">
      <w:tblPr/>
      <w:tcPr>
        <w:tcBorders>
          <w:bottom w:val="single" w:sz="4" w:space="0" w:color="6C95D6"/>
        </w:tcBorders>
      </w:tcPr>
    </w:tblStylePr>
    <w:tblStylePr w:type="seCell">
      <w:tblPr/>
      <w:tcPr>
        <w:tcBorders>
          <w:top w:val="single" w:sz="4" w:space="0" w:color="6C95D6"/>
        </w:tcBorders>
      </w:tcPr>
    </w:tblStylePr>
    <w:tblStylePr w:type="swCell">
      <w:tblPr/>
      <w:tcPr>
        <w:tcBorders>
          <w:top w:val="single" w:sz="4" w:space="0" w:color="6C95D6"/>
        </w:tcBorders>
      </w:tcPr>
    </w:tblStylePr>
  </w:style>
  <w:style w:type="table" w:styleId="Tabelasiatki3akcent6">
    <w:name w:val="Grid Table 3 Accent 6"/>
    <w:basedOn w:val="Standardowy"/>
    <w:uiPriority w:val="48"/>
    <w:rsid w:val="00C70628"/>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styleId="Tabelasiatki4akcent1">
    <w:name w:val="Grid Table 4 Accent 1"/>
    <w:basedOn w:val="Standardowy"/>
    <w:uiPriority w:val="49"/>
    <w:rsid w:val="00C706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siatki4akcent2">
    <w:name w:val="Grid Table 4 Accent 2"/>
    <w:basedOn w:val="Standardowy"/>
    <w:uiPriority w:val="49"/>
    <w:rsid w:val="00C70628"/>
    <w:tblPr>
      <w:tblStyleRowBandSize w:val="1"/>
      <w:tblStyleColBandSize w:val="1"/>
      <w:tblBorders>
        <w:top w:val="single" w:sz="4" w:space="0" w:color="FF6666"/>
        <w:left w:val="single" w:sz="4" w:space="0" w:color="FF6666"/>
        <w:bottom w:val="single" w:sz="4" w:space="0" w:color="FF6666"/>
        <w:right w:val="single" w:sz="4" w:space="0" w:color="FF6666"/>
        <w:insideH w:val="single" w:sz="4" w:space="0" w:color="FF6666"/>
        <w:insideV w:val="single" w:sz="4" w:space="0" w:color="FF6666"/>
      </w:tblBorders>
    </w:tblPr>
    <w:tblStylePr w:type="firstRow">
      <w:rPr>
        <w:b/>
        <w:bCs/>
        <w:color w:val="FFFFFF"/>
      </w:rPr>
      <w:tblPr/>
      <w:tcPr>
        <w:tcBorders>
          <w:top w:val="single" w:sz="4" w:space="0" w:color="FF0000"/>
          <w:left w:val="single" w:sz="4" w:space="0" w:color="FF0000"/>
          <w:bottom w:val="single" w:sz="4" w:space="0" w:color="FF0000"/>
          <w:right w:val="single" w:sz="4" w:space="0" w:color="FF0000"/>
          <w:insideH w:val="nil"/>
          <w:insideV w:val="nil"/>
        </w:tcBorders>
        <w:shd w:val="clear" w:color="auto" w:fill="FF0000"/>
      </w:tcPr>
    </w:tblStylePr>
    <w:tblStylePr w:type="lastRow">
      <w:rPr>
        <w:b/>
        <w:bCs/>
      </w:rPr>
      <w:tblPr/>
      <w:tcPr>
        <w:tcBorders>
          <w:top w:val="double" w:sz="4" w:space="0" w:color="FF0000"/>
        </w:tcBorders>
      </w:tcPr>
    </w:tblStylePr>
    <w:tblStylePr w:type="firstCol">
      <w:rPr>
        <w:b/>
        <w:bCs/>
      </w:rPr>
    </w:tblStylePr>
    <w:tblStylePr w:type="lastCol">
      <w:rPr>
        <w:b/>
        <w:bCs/>
      </w:rPr>
    </w:tblStylePr>
    <w:tblStylePr w:type="band1Vert">
      <w:tblPr/>
      <w:tcPr>
        <w:shd w:val="clear" w:color="auto" w:fill="FFCCCC"/>
      </w:tcPr>
    </w:tblStylePr>
    <w:tblStylePr w:type="band1Horz">
      <w:tblPr/>
      <w:tcPr>
        <w:shd w:val="clear" w:color="auto" w:fill="FFCCCC"/>
      </w:tcPr>
    </w:tblStylePr>
  </w:style>
  <w:style w:type="table" w:styleId="Tabelasiatki4akcent3">
    <w:name w:val="Grid Table 4 Accent 3"/>
    <w:basedOn w:val="Standardowy"/>
    <w:uiPriority w:val="49"/>
    <w:rsid w:val="00C70628"/>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siatki4akcent4">
    <w:name w:val="Grid Table 4 Accent 4"/>
    <w:basedOn w:val="Standardowy"/>
    <w:uiPriority w:val="49"/>
    <w:rsid w:val="00C70628"/>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elasiatki4akcent6">
    <w:name w:val="Grid Table 4 Accent 6"/>
    <w:basedOn w:val="Standardowy"/>
    <w:uiPriority w:val="49"/>
    <w:rsid w:val="00C70628"/>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siatki5ciemnaakcent1">
    <w:name w:val="Grid Table 5 Dark Accent 1"/>
    <w:basedOn w:val="Standardowy"/>
    <w:uiPriority w:val="50"/>
    <w:rsid w:val="00C706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Tabelasiatki5ciemnaakcent2">
    <w:name w:val="Grid Table 5 Dark Accent 2"/>
    <w:basedOn w:val="Standardowy"/>
    <w:uiPriority w:val="50"/>
    <w:rsid w:val="00C706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0000"/>
      </w:tcPr>
    </w:tblStylePr>
    <w:tblStylePr w:type="band1Vert">
      <w:tblPr/>
      <w:tcPr>
        <w:shd w:val="clear" w:color="auto" w:fill="FF9999"/>
      </w:tcPr>
    </w:tblStylePr>
    <w:tblStylePr w:type="band1Horz">
      <w:tblPr/>
      <w:tcPr>
        <w:shd w:val="clear" w:color="auto" w:fill="FF9999"/>
      </w:tcPr>
    </w:tblStylePr>
  </w:style>
  <w:style w:type="table" w:styleId="Tabelasiatki5ciemnaakcent3">
    <w:name w:val="Grid Table 5 Dark Accent 3"/>
    <w:basedOn w:val="Standardowy"/>
    <w:uiPriority w:val="50"/>
    <w:rsid w:val="00C706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Tabelasiatki5ciemnaakcent4">
    <w:name w:val="Grid Table 5 Dark Accent 4"/>
    <w:basedOn w:val="Standardowy"/>
    <w:uiPriority w:val="50"/>
    <w:rsid w:val="00C706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Tabelasiatki5ciemnaakcent5">
    <w:name w:val="Grid Table 5 Dark Accent 5"/>
    <w:basedOn w:val="Standardowy"/>
    <w:uiPriority w:val="50"/>
    <w:rsid w:val="00C706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EDB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2B579A"/>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2B579A"/>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2B579A"/>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2B579A"/>
      </w:tcPr>
    </w:tblStylePr>
    <w:tblStylePr w:type="band1Vert">
      <w:tblPr/>
      <w:tcPr>
        <w:shd w:val="clear" w:color="auto" w:fill="9DB8E3"/>
      </w:tcPr>
    </w:tblStylePr>
    <w:tblStylePr w:type="band1Horz">
      <w:tblPr/>
      <w:tcPr>
        <w:shd w:val="clear" w:color="auto" w:fill="9DB8E3"/>
      </w:tcPr>
    </w:tblStylePr>
  </w:style>
  <w:style w:type="table" w:styleId="Tabelasiatki5ciemnaakcent6">
    <w:name w:val="Grid Table 5 Dark Accent 6"/>
    <w:basedOn w:val="Standardowy"/>
    <w:uiPriority w:val="50"/>
    <w:rsid w:val="00C706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elasiatki6kolorowa">
    <w:name w:val="Grid Table 6 Colorful"/>
    <w:basedOn w:val="Standardowy"/>
    <w:uiPriority w:val="51"/>
    <w:rsid w:val="00C70628"/>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elasiatki6kolorowaakcent1">
    <w:name w:val="Grid Table 6 Colorful Accent 1"/>
    <w:basedOn w:val="Standardowy"/>
    <w:uiPriority w:val="51"/>
    <w:rsid w:val="00C7062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siatki6kolorowaakcent2">
    <w:name w:val="Grid Table 6 Colorful Accent 2"/>
    <w:basedOn w:val="Standardowy"/>
    <w:uiPriority w:val="51"/>
    <w:rsid w:val="00C70628"/>
    <w:rPr>
      <w:color w:val="BF0000"/>
    </w:rPr>
    <w:tblPr>
      <w:tblStyleRowBandSize w:val="1"/>
      <w:tblStyleColBandSize w:val="1"/>
      <w:tblBorders>
        <w:top w:val="single" w:sz="4" w:space="0" w:color="FF6666"/>
        <w:left w:val="single" w:sz="4" w:space="0" w:color="FF6666"/>
        <w:bottom w:val="single" w:sz="4" w:space="0" w:color="FF6666"/>
        <w:right w:val="single" w:sz="4" w:space="0" w:color="FF6666"/>
        <w:insideH w:val="single" w:sz="4" w:space="0" w:color="FF6666"/>
        <w:insideV w:val="single" w:sz="4" w:space="0" w:color="FF6666"/>
      </w:tblBorders>
    </w:tblPr>
    <w:tblStylePr w:type="firstRow">
      <w:rPr>
        <w:b/>
        <w:bCs/>
      </w:rPr>
      <w:tblPr/>
      <w:tcPr>
        <w:tcBorders>
          <w:bottom w:val="single" w:sz="12" w:space="0" w:color="FF6666"/>
        </w:tcBorders>
      </w:tcPr>
    </w:tblStylePr>
    <w:tblStylePr w:type="lastRow">
      <w:rPr>
        <w:b/>
        <w:bCs/>
      </w:rPr>
      <w:tblPr/>
      <w:tcPr>
        <w:tcBorders>
          <w:top w:val="double" w:sz="4" w:space="0" w:color="FF6666"/>
        </w:tcBorders>
      </w:tcPr>
    </w:tblStylePr>
    <w:tblStylePr w:type="firstCol">
      <w:rPr>
        <w:b/>
        <w:bCs/>
      </w:rPr>
    </w:tblStylePr>
    <w:tblStylePr w:type="lastCol">
      <w:rPr>
        <w:b/>
        <w:bCs/>
      </w:rPr>
    </w:tblStylePr>
    <w:tblStylePr w:type="band1Vert">
      <w:tblPr/>
      <w:tcPr>
        <w:shd w:val="clear" w:color="auto" w:fill="FFCCCC"/>
      </w:tcPr>
    </w:tblStylePr>
    <w:tblStylePr w:type="band1Horz">
      <w:tblPr/>
      <w:tcPr>
        <w:shd w:val="clear" w:color="auto" w:fill="FFCCCC"/>
      </w:tcPr>
    </w:tblStylePr>
  </w:style>
  <w:style w:type="table" w:styleId="Tabelasiatki6kolorowaakcent3">
    <w:name w:val="Grid Table 6 Colorful Accent 3"/>
    <w:basedOn w:val="Standardowy"/>
    <w:uiPriority w:val="51"/>
    <w:rsid w:val="00C70628"/>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siatki6kolorowaakcent4">
    <w:name w:val="Grid Table 6 Colorful Accent 4"/>
    <w:basedOn w:val="Standardowy"/>
    <w:uiPriority w:val="51"/>
    <w:rsid w:val="00C70628"/>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elasiatki6kolorowaakcent5">
    <w:name w:val="Grid Table 6 Colorful Accent 5"/>
    <w:basedOn w:val="Standardowy"/>
    <w:uiPriority w:val="51"/>
    <w:rsid w:val="00C70628"/>
    <w:rPr>
      <w:color w:val="204173"/>
    </w:rPr>
    <w:tblPr>
      <w:tblStyleRowBandSize w:val="1"/>
      <w:tblStyleColBandSize w:val="1"/>
      <w:tblBorders>
        <w:top w:val="single" w:sz="4" w:space="0" w:color="6C95D6"/>
        <w:left w:val="single" w:sz="4" w:space="0" w:color="6C95D6"/>
        <w:bottom w:val="single" w:sz="4" w:space="0" w:color="6C95D6"/>
        <w:right w:val="single" w:sz="4" w:space="0" w:color="6C95D6"/>
        <w:insideH w:val="single" w:sz="4" w:space="0" w:color="6C95D6"/>
        <w:insideV w:val="single" w:sz="4" w:space="0" w:color="6C95D6"/>
      </w:tblBorders>
    </w:tblPr>
    <w:tblStylePr w:type="firstRow">
      <w:rPr>
        <w:b/>
        <w:bCs/>
      </w:rPr>
      <w:tblPr/>
      <w:tcPr>
        <w:tcBorders>
          <w:bottom w:val="single" w:sz="12" w:space="0" w:color="6C95D6"/>
        </w:tcBorders>
      </w:tcPr>
    </w:tblStylePr>
    <w:tblStylePr w:type="lastRow">
      <w:rPr>
        <w:b/>
        <w:bCs/>
      </w:rPr>
      <w:tblPr/>
      <w:tcPr>
        <w:tcBorders>
          <w:top w:val="double" w:sz="4" w:space="0" w:color="6C95D6"/>
        </w:tcBorders>
      </w:tcPr>
    </w:tblStylePr>
    <w:tblStylePr w:type="firstCol">
      <w:rPr>
        <w:b/>
        <w:bCs/>
      </w:rPr>
    </w:tblStylePr>
    <w:tblStylePr w:type="lastCol">
      <w:rPr>
        <w:b/>
        <w:bCs/>
      </w:rPr>
    </w:tblStylePr>
    <w:tblStylePr w:type="band1Vert">
      <w:tblPr/>
      <w:tcPr>
        <w:shd w:val="clear" w:color="auto" w:fill="CEDBF1"/>
      </w:tcPr>
    </w:tblStylePr>
    <w:tblStylePr w:type="band1Horz">
      <w:tblPr/>
      <w:tcPr>
        <w:shd w:val="clear" w:color="auto" w:fill="CEDBF1"/>
      </w:tcPr>
    </w:tblStylePr>
  </w:style>
  <w:style w:type="table" w:styleId="Tabelasiatki6kolorowaakcent6">
    <w:name w:val="Grid Table 6 Colorful Accent 6"/>
    <w:basedOn w:val="Standardowy"/>
    <w:uiPriority w:val="51"/>
    <w:rsid w:val="00C70628"/>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siatki7kolorowa">
    <w:name w:val="Grid Table 7 Colorful"/>
    <w:basedOn w:val="Standardowy"/>
    <w:uiPriority w:val="52"/>
    <w:rsid w:val="00C70628"/>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Tabelasiatki7kolorowaakcent1">
    <w:name w:val="Grid Table 7 Colorful Accent 1"/>
    <w:basedOn w:val="Standardowy"/>
    <w:uiPriority w:val="52"/>
    <w:rsid w:val="00C7062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siatki7kolorowaakcent2">
    <w:name w:val="Grid Table 7 Colorful Accent 2"/>
    <w:basedOn w:val="Standardowy"/>
    <w:uiPriority w:val="52"/>
    <w:rsid w:val="00C70628"/>
    <w:rPr>
      <w:color w:val="BF0000"/>
    </w:rPr>
    <w:tblPr>
      <w:tblStyleRowBandSize w:val="1"/>
      <w:tblStyleColBandSize w:val="1"/>
      <w:tblBorders>
        <w:top w:val="single" w:sz="4" w:space="0" w:color="FF6666"/>
        <w:left w:val="single" w:sz="4" w:space="0" w:color="FF6666"/>
        <w:bottom w:val="single" w:sz="4" w:space="0" w:color="FF6666"/>
        <w:right w:val="single" w:sz="4" w:space="0" w:color="FF6666"/>
        <w:insideH w:val="single" w:sz="4" w:space="0" w:color="FF6666"/>
        <w:insideV w:val="single" w:sz="4" w:space="0" w:color="FF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CCCC"/>
      </w:tcPr>
    </w:tblStylePr>
    <w:tblStylePr w:type="band1Horz">
      <w:tblPr/>
      <w:tcPr>
        <w:shd w:val="clear" w:color="auto" w:fill="FFCCCC"/>
      </w:tcPr>
    </w:tblStylePr>
    <w:tblStylePr w:type="neCell">
      <w:tblPr/>
      <w:tcPr>
        <w:tcBorders>
          <w:bottom w:val="single" w:sz="4" w:space="0" w:color="FF6666"/>
        </w:tcBorders>
      </w:tcPr>
    </w:tblStylePr>
    <w:tblStylePr w:type="nwCell">
      <w:tblPr/>
      <w:tcPr>
        <w:tcBorders>
          <w:bottom w:val="single" w:sz="4" w:space="0" w:color="FF6666"/>
        </w:tcBorders>
      </w:tcPr>
    </w:tblStylePr>
    <w:tblStylePr w:type="seCell">
      <w:tblPr/>
      <w:tcPr>
        <w:tcBorders>
          <w:top w:val="single" w:sz="4" w:space="0" w:color="FF6666"/>
        </w:tcBorders>
      </w:tcPr>
    </w:tblStylePr>
    <w:tblStylePr w:type="swCell">
      <w:tblPr/>
      <w:tcPr>
        <w:tcBorders>
          <w:top w:val="single" w:sz="4" w:space="0" w:color="FF6666"/>
        </w:tcBorders>
      </w:tcPr>
    </w:tblStylePr>
  </w:style>
  <w:style w:type="table" w:styleId="Tabelasiatki7kolorowaakcent3">
    <w:name w:val="Grid Table 7 Colorful Accent 3"/>
    <w:basedOn w:val="Standardowy"/>
    <w:uiPriority w:val="52"/>
    <w:rsid w:val="00C70628"/>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Tabelasiatki7kolorowaakcent4">
    <w:name w:val="Grid Table 7 Colorful Accent 4"/>
    <w:basedOn w:val="Standardowy"/>
    <w:uiPriority w:val="52"/>
    <w:rsid w:val="00C70628"/>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elasiatki7kolorowaakcent5">
    <w:name w:val="Grid Table 7 Colorful Accent 5"/>
    <w:basedOn w:val="Standardowy"/>
    <w:uiPriority w:val="52"/>
    <w:rsid w:val="00C70628"/>
    <w:rPr>
      <w:color w:val="204173"/>
    </w:rPr>
    <w:tblPr>
      <w:tblStyleRowBandSize w:val="1"/>
      <w:tblStyleColBandSize w:val="1"/>
      <w:tblBorders>
        <w:top w:val="single" w:sz="4" w:space="0" w:color="6C95D6"/>
        <w:left w:val="single" w:sz="4" w:space="0" w:color="6C95D6"/>
        <w:bottom w:val="single" w:sz="4" w:space="0" w:color="6C95D6"/>
        <w:right w:val="single" w:sz="4" w:space="0" w:color="6C95D6"/>
        <w:insideH w:val="single" w:sz="4" w:space="0" w:color="6C95D6"/>
        <w:insideV w:val="single" w:sz="4" w:space="0" w:color="6C95D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EDBF1"/>
      </w:tcPr>
    </w:tblStylePr>
    <w:tblStylePr w:type="band1Horz">
      <w:tblPr/>
      <w:tcPr>
        <w:shd w:val="clear" w:color="auto" w:fill="CEDBF1"/>
      </w:tcPr>
    </w:tblStylePr>
    <w:tblStylePr w:type="neCell">
      <w:tblPr/>
      <w:tcPr>
        <w:tcBorders>
          <w:bottom w:val="single" w:sz="4" w:space="0" w:color="6C95D6"/>
        </w:tcBorders>
      </w:tcPr>
    </w:tblStylePr>
    <w:tblStylePr w:type="nwCell">
      <w:tblPr/>
      <w:tcPr>
        <w:tcBorders>
          <w:bottom w:val="single" w:sz="4" w:space="0" w:color="6C95D6"/>
        </w:tcBorders>
      </w:tcPr>
    </w:tblStylePr>
    <w:tblStylePr w:type="seCell">
      <w:tblPr/>
      <w:tcPr>
        <w:tcBorders>
          <w:top w:val="single" w:sz="4" w:space="0" w:color="6C95D6"/>
        </w:tcBorders>
      </w:tcPr>
    </w:tblStylePr>
    <w:tblStylePr w:type="swCell">
      <w:tblPr/>
      <w:tcPr>
        <w:tcBorders>
          <w:top w:val="single" w:sz="4" w:space="0" w:color="6C95D6"/>
        </w:tcBorders>
      </w:tcPr>
    </w:tblStylePr>
  </w:style>
  <w:style w:type="table" w:styleId="Tabelasiatki7kolorowaakcent6">
    <w:name w:val="Grid Table 7 Colorful Accent 6"/>
    <w:basedOn w:val="Standardowy"/>
    <w:uiPriority w:val="52"/>
    <w:rsid w:val="00C70628"/>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character" w:customStyle="1" w:styleId="Nagwek3Znak">
    <w:name w:val="Nagłówek 3 Znak"/>
    <w:link w:val="Nagwek3"/>
    <w:uiPriority w:val="1"/>
    <w:rsid w:val="00C70628"/>
    <w:rPr>
      <w:rFonts w:ascii="Segoe UI Light" w:eastAsia="MS Gothic" w:hAnsi="Segoe UI Light" w:cs="Segoe UI Light"/>
      <w:color w:val="1F4D78"/>
      <w:sz w:val="24"/>
      <w:szCs w:val="24"/>
    </w:rPr>
  </w:style>
  <w:style w:type="character" w:customStyle="1" w:styleId="Nagwek4Znak">
    <w:name w:val="Nagłówek 4 Znak"/>
    <w:link w:val="Nagwek4"/>
    <w:uiPriority w:val="1"/>
    <w:rsid w:val="00C70628"/>
    <w:rPr>
      <w:rFonts w:ascii="Segoe UI Light" w:eastAsia="MS Gothic" w:hAnsi="Segoe UI Light" w:cs="Segoe UI Light"/>
      <w:i/>
      <w:iCs/>
      <w:color w:val="1F4E79"/>
    </w:rPr>
  </w:style>
  <w:style w:type="character" w:customStyle="1" w:styleId="Nagwek5Znak">
    <w:name w:val="Nagłówek 5 Znak"/>
    <w:link w:val="Nagwek5"/>
    <w:uiPriority w:val="1"/>
    <w:rsid w:val="00C70628"/>
    <w:rPr>
      <w:rFonts w:ascii="Segoe UI Light" w:eastAsia="MS Gothic" w:hAnsi="Segoe UI Light" w:cs="Segoe UI Light"/>
      <w:color w:val="1F4E79"/>
    </w:rPr>
  </w:style>
  <w:style w:type="character" w:customStyle="1" w:styleId="Nagwek6Znak">
    <w:name w:val="Nagłówek 6 Znak"/>
    <w:link w:val="Nagwek6"/>
    <w:uiPriority w:val="1"/>
    <w:rsid w:val="00C70628"/>
    <w:rPr>
      <w:rFonts w:ascii="Segoe UI Light" w:eastAsia="MS Gothic" w:hAnsi="Segoe UI Light" w:cs="Segoe UI Light"/>
      <w:b/>
      <w:color w:val="1F4D78"/>
    </w:rPr>
  </w:style>
  <w:style w:type="character" w:customStyle="1" w:styleId="Nagwek7Znak">
    <w:name w:val="Nagłówek 7 Znak"/>
    <w:link w:val="Nagwek7"/>
    <w:uiPriority w:val="1"/>
    <w:rsid w:val="00C70628"/>
    <w:rPr>
      <w:rFonts w:ascii="Segoe UI Light" w:eastAsia="MS Gothic" w:hAnsi="Segoe UI Light" w:cs="Segoe UI Light"/>
      <w:i/>
      <w:iCs/>
      <w:color w:val="1F4D78"/>
    </w:rPr>
  </w:style>
  <w:style w:type="character" w:customStyle="1" w:styleId="Nagwek8Znak">
    <w:name w:val="Nagłówek 8 Znak"/>
    <w:link w:val="Nagwek8"/>
    <w:uiPriority w:val="1"/>
    <w:rsid w:val="00C70628"/>
    <w:rPr>
      <w:rFonts w:ascii="Segoe UI Light" w:eastAsia="MS Gothic" w:hAnsi="Segoe UI Light" w:cs="Segoe UI Light"/>
      <w:color w:val="272727"/>
      <w:szCs w:val="21"/>
    </w:rPr>
  </w:style>
  <w:style w:type="character" w:customStyle="1" w:styleId="Nagwek9Znak">
    <w:name w:val="Nagłówek 9 Znak"/>
    <w:link w:val="Nagwek9"/>
    <w:uiPriority w:val="1"/>
    <w:rsid w:val="00C70628"/>
    <w:rPr>
      <w:rFonts w:ascii="Segoe UI Light" w:eastAsia="MS Gothic" w:hAnsi="Segoe UI Light" w:cs="Segoe UI Light"/>
      <w:i/>
      <w:iCs/>
      <w:color w:val="272727"/>
      <w:szCs w:val="21"/>
    </w:rPr>
  </w:style>
  <w:style w:type="character" w:styleId="HTML-akronim">
    <w:name w:val="HTML Acronym"/>
    <w:uiPriority w:val="99"/>
    <w:semiHidden/>
    <w:unhideWhenUsed/>
    <w:rsid w:val="00C70628"/>
    <w:rPr>
      <w:rFonts w:ascii="Segoe UI" w:hAnsi="Segoe UI" w:cs="Segoe UI"/>
    </w:rPr>
  </w:style>
  <w:style w:type="paragraph" w:styleId="HTML-adres">
    <w:name w:val="HTML Address"/>
    <w:basedOn w:val="Normalny"/>
    <w:link w:val="HTML-adresZnak"/>
    <w:uiPriority w:val="99"/>
    <w:semiHidden/>
    <w:unhideWhenUsed/>
    <w:rsid w:val="00C70628"/>
    <w:pPr>
      <w:spacing w:before="0" w:line="240" w:lineRule="auto"/>
    </w:pPr>
    <w:rPr>
      <w:i/>
      <w:iCs/>
    </w:rPr>
  </w:style>
  <w:style w:type="character" w:customStyle="1" w:styleId="HTML-adresZnak">
    <w:name w:val="HTML - adres Znak"/>
    <w:link w:val="HTML-adres"/>
    <w:uiPriority w:val="99"/>
    <w:semiHidden/>
    <w:rsid w:val="00C70628"/>
    <w:rPr>
      <w:rFonts w:ascii="Segoe UI" w:hAnsi="Segoe UI" w:cs="Segoe UI"/>
      <w:i/>
      <w:iCs/>
    </w:rPr>
  </w:style>
  <w:style w:type="character" w:styleId="HTML-cytat">
    <w:name w:val="HTML Cite"/>
    <w:uiPriority w:val="99"/>
    <w:semiHidden/>
    <w:unhideWhenUsed/>
    <w:rsid w:val="00C70628"/>
    <w:rPr>
      <w:rFonts w:ascii="Segoe UI" w:hAnsi="Segoe UI" w:cs="Segoe UI"/>
      <w:i/>
      <w:iCs/>
    </w:rPr>
  </w:style>
  <w:style w:type="character" w:styleId="HTML-kod">
    <w:name w:val="HTML Code"/>
    <w:uiPriority w:val="99"/>
    <w:semiHidden/>
    <w:unhideWhenUsed/>
    <w:rsid w:val="00C70628"/>
    <w:rPr>
      <w:rFonts w:ascii="Consolas" w:hAnsi="Consolas" w:cs="Segoe UI"/>
      <w:sz w:val="22"/>
      <w:szCs w:val="20"/>
    </w:rPr>
  </w:style>
  <w:style w:type="character" w:styleId="HTML-definicja">
    <w:name w:val="HTML Definition"/>
    <w:uiPriority w:val="99"/>
    <w:semiHidden/>
    <w:unhideWhenUsed/>
    <w:rsid w:val="00C70628"/>
    <w:rPr>
      <w:rFonts w:ascii="Segoe UI" w:hAnsi="Segoe UI" w:cs="Segoe UI"/>
      <w:i/>
      <w:iCs/>
    </w:rPr>
  </w:style>
  <w:style w:type="character" w:styleId="HTML-klawiatura">
    <w:name w:val="HTML Keyboard"/>
    <w:uiPriority w:val="99"/>
    <w:semiHidden/>
    <w:unhideWhenUsed/>
    <w:rsid w:val="00C70628"/>
    <w:rPr>
      <w:rFonts w:ascii="Consolas" w:hAnsi="Consolas" w:cs="Segoe UI"/>
      <w:sz w:val="22"/>
      <w:szCs w:val="20"/>
    </w:rPr>
  </w:style>
  <w:style w:type="paragraph" w:styleId="HTML-wstpniesformatowany">
    <w:name w:val="HTML Preformatted"/>
    <w:basedOn w:val="Normalny"/>
    <w:link w:val="HTML-wstpniesformatowanyZnak"/>
    <w:uiPriority w:val="99"/>
    <w:semiHidden/>
    <w:unhideWhenUsed/>
    <w:rsid w:val="00C70628"/>
    <w:pPr>
      <w:spacing w:before="0" w:line="240" w:lineRule="auto"/>
    </w:pPr>
    <w:rPr>
      <w:rFonts w:ascii="Consolas" w:hAnsi="Consolas"/>
      <w:szCs w:val="20"/>
    </w:rPr>
  </w:style>
  <w:style w:type="character" w:customStyle="1" w:styleId="HTML-wstpniesformatowanyZnak">
    <w:name w:val="HTML - wstępnie sformatowany Znak"/>
    <w:link w:val="HTML-wstpniesformatowany"/>
    <w:uiPriority w:val="99"/>
    <w:semiHidden/>
    <w:rsid w:val="00C70628"/>
    <w:rPr>
      <w:rFonts w:ascii="Consolas" w:hAnsi="Consolas" w:cs="Segoe UI"/>
      <w:szCs w:val="20"/>
    </w:rPr>
  </w:style>
  <w:style w:type="character" w:styleId="HTML-przykad">
    <w:name w:val="HTML Sample"/>
    <w:uiPriority w:val="99"/>
    <w:semiHidden/>
    <w:unhideWhenUsed/>
    <w:rsid w:val="00C70628"/>
    <w:rPr>
      <w:rFonts w:ascii="Consolas" w:hAnsi="Consolas" w:cs="Segoe UI"/>
      <w:sz w:val="24"/>
      <w:szCs w:val="24"/>
    </w:rPr>
  </w:style>
  <w:style w:type="character" w:styleId="HTML-staaszeroko">
    <w:name w:val="HTML Typewriter"/>
    <w:uiPriority w:val="99"/>
    <w:semiHidden/>
    <w:unhideWhenUsed/>
    <w:rsid w:val="00C70628"/>
    <w:rPr>
      <w:rFonts w:ascii="Consolas" w:hAnsi="Consolas" w:cs="Segoe UI"/>
      <w:sz w:val="22"/>
      <w:szCs w:val="20"/>
    </w:rPr>
  </w:style>
  <w:style w:type="character" w:styleId="HTML-zmienna">
    <w:name w:val="HTML Variable"/>
    <w:uiPriority w:val="99"/>
    <w:semiHidden/>
    <w:unhideWhenUsed/>
    <w:rsid w:val="00C70628"/>
    <w:rPr>
      <w:rFonts w:ascii="Segoe UI" w:hAnsi="Segoe UI" w:cs="Segoe UI"/>
      <w:i/>
      <w:iCs/>
    </w:rPr>
  </w:style>
  <w:style w:type="paragraph" w:styleId="Indeks1">
    <w:name w:val="index 1"/>
    <w:basedOn w:val="Normalny"/>
    <w:next w:val="Normalny"/>
    <w:autoRedefine/>
    <w:uiPriority w:val="99"/>
    <w:semiHidden/>
    <w:unhideWhenUsed/>
    <w:rsid w:val="00C70628"/>
    <w:pPr>
      <w:spacing w:before="0" w:line="240" w:lineRule="auto"/>
      <w:ind w:left="220" w:hanging="220"/>
    </w:pPr>
  </w:style>
  <w:style w:type="paragraph" w:styleId="Indeks2">
    <w:name w:val="index 2"/>
    <w:basedOn w:val="Normalny"/>
    <w:next w:val="Normalny"/>
    <w:autoRedefine/>
    <w:uiPriority w:val="99"/>
    <w:semiHidden/>
    <w:unhideWhenUsed/>
    <w:rsid w:val="00C70628"/>
    <w:pPr>
      <w:spacing w:before="0" w:line="240" w:lineRule="auto"/>
      <w:ind w:left="440" w:hanging="220"/>
    </w:pPr>
  </w:style>
  <w:style w:type="paragraph" w:styleId="Indeks3">
    <w:name w:val="index 3"/>
    <w:basedOn w:val="Normalny"/>
    <w:next w:val="Normalny"/>
    <w:autoRedefine/>
    <w:uiPriority w:val="99"/>
    <w:semiHidden/>
    <w:unhideWhenUsed/>
    <w:rsid w:val="00C70628"/>
    <w:pPr>
      <w:spacing w:before="0" w:line="240" w:lineRule="auto"/>
      <w:ind w:left="660" w:hanging="220"/>
    </w:pPr>
  </w:style>
  <w:style w:type="paragraph" w:styleId="Indeks4">
    <w:name w:val="index 4"/>
    <w:basedOn w:val="Normalny"/>
    <w:next w:val="Normalny"/>
    <w:autoRedefine/>
    <w:uiPriority w:val="99"/>
    <w:semiHidden/>
    <w:unhideWhenUsed/>
    <w:rsid w:val="00C70628"/>
    <w:pPr>
      <w:spacing w:before="0" w:line="240" w:lineRule="auto"/>
      <w:ind w:left="880" w:hanging="220"/>
    </w:pPr>
  </w:style>
  <w:style w:type="paragraph" w:styleId="Indeks5">
    <w:name w:val="index 5"/>
    <w:basedOn w:val="Normalny"/>
    <w:next w:val="Normalny"/>
    <w:autoRedefine/>
    <w:uiPriority w:val="99"/>
    <w:semiHidden/>
    <w:unhideWhenUsed/>
    <w:rsid w:val="00C70628"/>
    <w:pPr>
      <w:spacing w:before="0" w:line="240" w:lineRule="auto"/>
      <w:ind w:left="1100" w:hanging="220"/>
    </w:pPr>
  </w:style>
  <w:style w:type="paragraph" w:styleId="Indeks6">
    <w:name w:val="index 6"/>
    <w:basedOn w:val="Normalny"/>
    <w:next w:val="Normalny"/>
    <w:autoRedefine/>
    <w:uiPriority w:val="99"/>
    <w:semiHidden/>
    <w:unhideWhenUsed/>
    <w:rsid w:val="00C70628"/>
    <w:pPr>
      <w:spacing w:before="0" w:line="240" w:lineRule="auto"/>
      <w:ind w:left="1320" w:hanging="220"/>
    </w:pPr>
  </w:style>
  <w:style w:type="paragraph" w:styleId="Indeks7">
    <w:name w:val="index 7"/>
    <w:basedOn w:val="Normalny"/>
    <w:next w:val="Normalny"/>
    <w:autoRedefine/>
    <w:uiPriority w:val="99"/>
    <w:semiHidden/>
    <w:unhideWhenUsed/>
    <w:rsid w:val="00C70628"/>
    <w:pPr>
      <w:spacing w:before="0" w:line="240" w:lineRule="auto"/>
      <w:ind w:left="1540" w:hanging="220"/>
    </w:pPr>
  </w:style>
  <w:style w:type="paragraph" w:styleId="Indeks8">
    <w:name w:val="index 8"/>
    <w:basedOn w:val="Normalny"/>
    <w:next w:val="Normalny"/>
    <w:autoRedefine/>
    <w:uiPriority w:val="99"/>
    <w:semiHidden/>
    <w:unhideWhenUsed/>
    <w:rsid w:val="00C70628"/>
    <w:pPr>
      <w:spacing w:before="0" w:line="240" w:lineRule="auto"/>
      <w:ind w:left="1760" w:hanging="220"/>
    </w:pPr>
  </w:style>
  <w:style w:type="paragraph" w:styleId="Indeks9">
    <w:name w:val="index 9"/>
    <w:basedOn w:val="Normalny"/>
    <w:next w:val="Normalny"/>
    <w:autoRedefine/>
    <w:uiPriority w:val="99"/>
    <w:semiHidden/>
    <w:unhideWhenUsed/>
    <w:rsid w:val="00C70628"/>
    <w:pPr>
      <w:spacing w:before="0" w:line="240" w:lineRule="auto"/>
      <w:ind w:left="1980" w:hanging="220"/>
    </w:pPr>
  </w:style>
  <w:style w:type="paragraph" w:styleId="Nagwekindeksu">
    <w:name w:val="index heading"/>
    <w:basedOn w:val="Normalny"/>
    <w:next w:val="Indeks1"/>
    <w:uiPriority w:val="99"/>
    <w:semiHidden/>
    <w:unhideWhenUsed/>
    <w:rsid w:val="00C70628"/>
    <w:rPr>
      <w:rFonts w:ascii="Segoe UI Light" w:eastAsia="MS Gothic" w:hAnsi="Segoe UI Light" w:cs="Segoe UI Light"/>
      <w:b/>
      <w:bCs/>
    </w:rPr>
  </w:style>
  <w:style w:type="paragraph" w:styleId="Cytatintensywny">
    <w:name w:val="Intense Quote"/>
    <w:basedOn w:val="Normalny"/>
    <w:next w:val="Normalny"/>
    <w:link w:val="CytatintensywnyZnak"/>
    <w:uiPriority w:val="30"/>
    <w:unhideWhenUsed/>
    <w:qFormat/>
    <w:rsid w:val="00C70628"/>
    <w:pPr>
      <w:pBdr>
        <w:top w:val="single" w:sz="4" w:space="10" w:color="1F4E79"/>
        <w:bottom w:val="single" w:sz="4" w:space="10" w:color="1F4E79"/>
      </w:pBdr>
      <w:spacing w:before="360" w:after="360"/>
      <w:jc w:val="center"/>
    </w:pPr>
    <w:rPr>
      <w:i/>
      <w:iCs/>
      <w:color w:val="1F4E79"/>
    </w:rPr>
  </w:style>
  <w:style w:type="character" w:customStyle="1" w:styleId="CytatintensywnyZnak">
    <w:name w:val="Cytat intensywny Znak"/>
    <w:link w:val="Cytatintensywny"/>
    <w:uiPriority w:val="30"/>
    <w:rsid w:val="00C70628"/>
    <w:rPr>
      <w:rFonts w:ascii="Segoe UI" w:hAnsi="Segoe UI" w:cs="Segoe UI"/>
      <w:i/>
      <w:iCs/>
      <w:color w:val="1F4E79"/>
    </w:rPr>
  </w:style>
  <w:style w:type="character" w:styleId="Odwoanieintensywne">
    <w:name w:val="Intense Reference"/>
    <w:uiPriority w:val="32"/>
    <w:semiHidden/>
    <w:unhideWhenUsed/>
    <w:qFormat/>
    <w:rsid w:val="00C70628"/>
    <w:rPr>
      <w:rFonts w:ascii="Segoe UI" w:hAnsi="Segoe UI" w:cs="Segoe UI"/>
      <w:b/>
      <w:bCs/>
      <w:caps w:val="0"/>
      <w:smallCaps/>
      <w:color w:val="1F4E79"/>
      <w:spacing w:val="0"/>
    </w:rPr>
  </w:style>
  <w:style w:type="table" w:styleId="Jasnasiatka">
    <w:name w:val="Light Grid"/>
    <w:basedOn w:val="Standardowy"/>
    <w:uiPriority w:val="62"/>
    <w:semiHidden/>
    <w:unhideWhenUsed/>
    <w:rsid w:val="00C706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egoe UI Light" w:eastAsia="MS Gothic" w:hAnsi="Segoe U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egoe UI Light" w:eastAsia="MS Gothic" w:hAnsi="Segoe U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egoe UI Light" w:eastAsia="MS Gothic" w:hAnsi="Segoe UI Light" w:cs="Times New Roman"/>
        <w:b/>
        <w:bCs/>
      </w:rPr>
    </w:tblStylePr>
    <w:tblStylePr w:type="lastCol">
      <w:rPr>
        <w:rFonts w:ascii="Segoe UI Light" w:eastAsia="MS Gothic" w:hAnsi="Segoe U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62"/>
    <w:semiHidden/>
    <w:unhideWhenUsed/>
    <w:rsid w:val="00C70628"/>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Segoe UI Light" w:eastAsia="MS Gothic" w:hAnsi="Segoe U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Segoe UI Light" w:eastAsia="MS Gothic" w:hAnsi="Segoe U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Segoe UI Light" w:eastAsia="MS Gothic" w:hAnsi="Segoe UI Light" w:cs="Times New Roman"/>
        <w:b/>
        <w:bCs/>
      </w:rPr>
    </w:tblStylePr>
    <w:tblStylePr w:type="lastCol">
      <w:rPr>
        <w:rFonts w:ascii="Segoe UI Light" w:eastAsia="MS Gothic" w:hAnsi="Segoe U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Jasnasiatkaakcent2">
    <w:name w:val="Light Grid Accent 2"/>
    <w:basedOn w:val="Standardowy"/>
    <w:uiPriority w:val="62"/>
    <w:semiHidden/>
    <w:unhideWhenUsed/>
    <w:rsid w:val="00C70628"/>
    <w:tblPr>
      <w:tblStyleRowBandSize w:val="1"/>
      <w:tblStyleColBandSize w:val="1"/>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Pr>
    <w:tblStylePr w:type="firstRow">
      <w:pPr>
        <w:spacing w:before="0" w:after="0" w:line="240" w:lineRule="auto"/>
      </w:pPr>
      <w:rPr>
        <w:rFonts w:ascii="Segoe UI Light" w:eastAsia="MS Gothic" w:hAnsi="Segoe UI Light" w:cs="Times New Roman"/>
        <w:b/>
        <w:bCs/>
      </w:rPr>
      <w:tblPr/>
      <w:tcPr>
        <w:tcBorders>
          <w:top w:val="single" w:sz="8" w:space="0" w:color="FF0000"/>
          <w:left w:val="single" w:sz="8" w:space="0" w:color="FF0000"/>
          <w:bottom w:val="single" w:sz="18" w:space="0" w:color="FF0000"/>
          <w:right w:val="single" w:sz="8" w:space="0" w:color="FF0000"/>
          <w:insideH w:val="nil"/>
          <w:insideV w:val="single" w:sz="8" w:space="0" w:color="FF0000"/>
        </w:tcBorders>
      </w:tcPr>
    </w:tblStylePr>
    <w:tblStylePr w:type="lastRow">
      <w:pPr>
        <w:spacing w:before="0" w:after="0" w:line="240" w:lineRule="auto"/>
      </w:pPr>
      <w:rPr>
        <w:rFonts w:ascii="Segoe UI Light" w:eastAsia="MS Gothic" w:hAnsi="Segoe UI Light" w:cs="Times New Roman"/>
        <w:b/>
        <w:bCs/>
      </w:rPr>
      <w:tblPr/>
      <w:tcPr>
        <w:tcBorders>
          <w:top w:val="double" w:sz="6" w:space="0" w:color="FF0000"/>
          <w:left w:val="single" w:sz="8" w:space="0" w:color="FF0000"/>
          <w:bottom w:val="single" w:sz="8" w:space="0" w:color="FF0000"/>
          <w:right w:val="single" w:sz="8" w:space="0" w:color="FF0000"/>
          <w:insideH w:val="nil"/>
          <w:insideV w:val="single" w:sz="8" w:space="0" w:color="FF0000"/>
        </w:tcBorders>
      </w:tcPr>
    </w:tblStylePr>
    <w:tblStylePr w:type="firstCol">
      <w:rPr>
        <w:rFonts w:ascii="Segoe UI Light" w:eastAsia="MS Gothic" w:hAnsi="Segoe UI Light" w:cs="Times New Roman"/>
        <w:b/>
        <w:bCs/>
      </w:rPr>
    </w:tblStylePr>
    <w:tblStylePr w:type="lastCol">
      <w:rPr>
        <w:rFonts w:ascii="Segoe UI Light" w:eastAsia="MS Gothic" w:hAnsi="Segoe UI Light" w:cs="Times New Roman"/>
        <w:b/>
        <w:bCs/>
      </w:rPr>
      <w:tblPr/>
      <w:tcPr>
        <w:tcBorders>
          <w:top w:val="single" w:sz="8" w:space="0" w:color="FF0000"/>
          <w:left w:val="single" w:sz="8" w:space="0" w:color="FF0000"/>
          <w:bottom w:val="single" w:sz="8" w:space="0" w:color="FF0000"/>
          <w:right w:val="single" w:sz="8" w:space="0" w:color="FF0000"/>
        </w:tcBorders>
      </w:tcPr>
    </w:tblStylePr>
    <w:tblStylePr w:type="band1Vert">
      <w:tblPr/>
      <w:tcPr>
        <w:tcBorders>
          <w:top w:val="single" w:sz="8" w:space="0" w:color="FF0000"/>
          <w:left w:val="single" w:sz="8" w:space="0" w:color="FF0000"/>
          <w:bottom w:val="single" w:sz="8" w:space="0" w:color="FF0000"/>
          <w:right w:val="single" w:sz="8" w:space="0" w:color="FF0000"/>
        </w:tcBorders>
        <w:shd w:val="clear" w:color="auto" w:fill="FFC0C0"/>
      </w:tcPr>
    </w:tblStylePr>
    <w:tblStylePr w:type="band1Horz">
      <w:tblPr/>
      <w:tcPr>
        <w:tcBorders>
          <w:top w:val="single" w:sz="8" w:space="0" w:color="FF0000"/>
          <w:left w:val="single" w:sz="8" w:space="0" w:color="FF0000"/>
          <w:bottom w:val="single" w:sz="8" w:space="0" w:color="FF0000"/>
          <w:right w:val="single" w:sz="8" w:space="0" w:color="FF0000"/>
          <w:insideV w:val="single" w:sz="8" w:space="0" w:color="FF0000"/>
        </w:tcBorders>
        <w:shd w:val="clear" w:color="auto" w:fill="FFC0C0"/>
      </w:tcPr>
    </w:tblStylePr>
    <w:tblStylePr w:type="band2Horz">
      <w:tblPr/>
      <w:tcPr>
        <w:tcBorders>
          <w:top w:val="single" w:sz="8" w:space="0" w:color="FF0000"/>
          <w:left w:val="single" w:sz="8" w:space="0" w:color="FF0000"/>
          <w:bottom w:val="single" w:sz="8" w:space="0" w:color="FF0000"/>
          <w:right w:val="single" w:sz="8" w:space="0" w:color="FF0000"/>
          <w:insideV w:val="single" w:sz="8" w:space="0" w:color="FF0000"/>
        </w:tcBorders>
      </w:tcPr>
    </w:tblStylePr>
  </w:style>
  <w:style w:type="table" w:styleId="Jasnasiatkaakcent3">
    <w:name w:val="Light Grid Accent 3"/>
    <w:basedOn w:val="Standardowy"/>
    <w:uiPriority w:val="62"/>
    <w:semiHidden/>
    <w:unhideWhenUsed/>
    <w:rsid w:val="00C70628"/>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Segoe UI Light" w:eastAsia="MS Gothic" w:hAnsi="Segoe U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Segoe UI Light" w:eastAsia="MS Gothic" w:hAnsi="Segoe U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Segoe UI Light" w:eastAsia="MS Gothic" w:hAnsi="Segoe UI Light" w:cs="Times New Roman"/>
        <w:b/>
        <w:bCs/>
      </w:rPr>
    </w:tblStylePr>
    <w:tblStylePr w:type="lastCol">
      <w:rPr>
        <w:rFonts w:ascii="Segoe UI Light" w:eastAsia="MS Gothic" w:hAnsi="Segoe U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Jasnasiatkaakcent4">
    <w:name w:val="Light Grid Accent 4"/>
    <w:basedOn w:val="Standardowy"/>
    <w:uiPriority w:val="62"/>
    <w:semiHidden/>
    <w:unhideWhenUsed/>
    <w:rsid w:val="00C70628"/>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Segoe UI Light" w:eastAsia="MS Gothic" w:hAnsi="Segoe U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Segoe UI Light" w:eastAsia="MS Gothic" w:hAnsi="Segoe U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Segoe UI Light" w:eastAsia="MS Gothic" w:hAnsi="Segoe UI Light" w:cs="Times New Roman"/>
        <w:b/>
        <w:bCs/>
      </w:rPr>
    </w:tblStylePr>
    <w:tblStylePr w:type="lastCol">
      <w:rPr>
        <w:rFonts w:ascii="Segoe UI Light" w:eastAsia="MS Gothic" w:hAnsi="Segoe U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styleId="Jasnasiatkaakcent5">
    <w:name w:val="Light Grid Accent 5"/>
    <w:basedOn w:val="Standardowy"/>
    <w:uiPriority w:val="62"/>
    <w:semiHidden/>
    <w:unhideWhenUsed/>
    <w:rsid w:val="00C70628"/>
    <w:tblPr>
      <w:tblStyleRowBandSize w:val="1"/>
      <w:tblStyleColBandSize w:val="1"/>
      <w:tblBorders>
        <w:top w:val="single" w:sz="8" w:space="0" w:color="2B579A"/>
        <w:left w:val="single" w:sz="8" w:space="0" w:color="2B579A"/>
        <w:bottom w:val="single" w:sz="8" w:space="0" w:color="2B579A"/>
        <w:right w:val="single" w:sz="8" w:space="0" w:color="2B579A"/>
        <w:insideH w:val="single" w:sz="8" w:space="0" w:color="2B579A"/>
        <w:insideV w:val="single" w:sz="8" w:space="0" w:color="2B579A"/>
      </w:tblBorders>
    </w:tblPr>
    <w:tblStylePr w:type="firstRow">
      <w:pPr>
        <w:spacing w:before="0" w:after="0" w:line="240" w:lineRule="auto"/>
      </w:pPr>
      <w:rPr>
        <w:rFonts w:ascii="Segoe UI Light" w:eastAsia="MS Gothic" w:hAnsi="Segoe UI Light" w:cs="Times New Roman"/>
        <w:b/>
        <w:bCs/>
      </w:rPr>
      <w:tblPr/>
      <w:tcPr>
        <w:tcBorders>
          <w:top w:val="single" w:sz="8" w:space="0" w:color="2B579A"/>
          <w:left w:val="single" w:sz="8" w:space="0" w:color="2B579A"/>
          <w:bottom w:val="single" w:sz="18" w:space="0" w:color="2B579A"/>
          <w:right w:val="single" w:sz="8" w:space="0" w:color="2B579A"/>
          <w:insideH w:val="nil"/>
          <w:insideV w:val="single" w:sz="8" w:space="0" w:color="2B579A"/>
        </w:tcBorders>
      </w:tcPr>
    </w:tblStylePr>
    <w:tblStylePr w:type="lastRow">
      <w:pPr>
        <w:spacing w:before="0" w:after="0" w:line="240" w:lineRule="auto"/>
      </w:pPr>
      <w:rPr>
        <w:rFonts w:ascii="Segoe UI Light" w:eastAsia="MS Gothic" w:hAnsi="Segoe UI Light" w:cs="Times New Roman"/>
        <w:b/>
        <w:bCs/>
      </w:rPr>
      <w:tblPr/>
      <w:tcPr>
        <w:tcBorders>
          <w:top w:val="double" w:sz="6" w:space="0" w:color="2B579A"/>
          <w:left w:val="single" w:sz="8" w:space="0" w:color="2B579A"/>
          <w:bottom w:val="single" w:sz="8" w:space="0" w:color="2B579A"/>
          <w:right w:val="single" w:sz="8" w:space="0" w:color="2B579A"/>
          <w:insideH w:val="nil"/>
          <w:insideV w:val="single" w:sz="8" w:space="0" w:color="2B579A"/>
        </w:tcBorders>
      </w:tcPr>
    </w:tblStylePr>
    <w:tblStylePr w:type="firstCol">
      <w:rPr>
        <w:rFonts w:ascii="Segoe UI Light" w:eastAsia="MS Gothic" w:hAnsi="Segoe UI Light" w:cs="Times New Roman"/>
        <w:b/>
        <w:bCs/>
      </w:rPr>
    </w:tblStylePr>
    <w:tblStylePr w:type="lastCol">
      <w:rPr>
        <w:rFonts w:ascii="Segoe UI Light" w:eastAsia="MS Gothic" w:hAnsi="Segoe UI Light" w:cs="Times New Roman"/>
        <w:b/>
        <w:bCs/>
      </w:rPr>
      <w:tblPr/>
      <w:tcPr>
        <w:tcBorders>
          <w:top w:val="single" w:sz="8" w:space="0" w:color="2B579A"/>
          <w:left w:val="single" w:sz="8" w:space="0" w:color="2B579A"/>
          <w:bottom w:val="single" w:sz="8" w:space="0" w:color="2B579A"/>
          <w:right w:val="single" w:sz="8" w:space="0" w:color="2B579A"/>
        </w:tcBorders>
      </w:tcPr>
    </w:tblStylePr>
    <w:tblStylePr w:type="band1Vert">
      <w:tblPr/>
      <w:tcPr>
        <w:tcBorders>
          <w:top w:val="single" w:sz="8" w:space="0" w:color="2B579A"/>
          <w:left w:val="single" w:sz="8" w:space="0" w:color="2B579A"/>
          <w:bottom w:val="single" w:sz="8" w:space="0" w:color="2B579A"/>
          <w:right w:val="single" w:sz="8" w:space="0" w:color="2B579A"/>
        </w:tcBorders>
        <w:shd w:val="clear" w:color="auto" w:fill="C2D3EE"/>
      </w:tcPr>
    </w:tblStylePr>
    <w:tblStylePr w:type="band1Horz">
      <w:tblPr/>
      <w:tcPr>
        <w:tcBorders>
          <w:top w:val="single" w:sz="8" w:space="0" w:color="2B579A"/>
          <w:left w:val="single" w:sz="8" w:space="0" w:color="2B579A"/>
          <w:bottom w:val="single" w:sz="8" w:space="0" w:color="2B579A"/>
          <w:right w:val="single" w:sz="8" w:space="0" w:color="2B579A"/>
          <w:insideV w:val="single" w:sz="8" w:space="0" w:color="2B579A"/>
        </w:tcBorders>
        <w:shd w:val="clear" w:color="auto" w:fill="C2D3EE"/>
      </w:tcPr>
    </w:tblStylePr>
    <w:tblStylePr w:type="band2Horz">
      <w:tblPr/>
      <w:tcPr>
        <w:tcBorders>
          <w:top w:val="single" w:sz="8" w:space="0" w:color="2B579A"/>
          <w:left w:val="single" w:sz="8" w:space="0" w:color="2B579A"/>
          <w:bottom w:val="single" w:sz="8" w:space="0" w:color="2B579A"/>
          <w:right w:val="single" w:sz="8" w:space="0" w:color="2B579A"/>
          <w:insideV w:val="single" w:sz="8" w:space="0" w:color="2B579A"/>
        </w:tcBorders>
      </w:tcPr>
    </w:tblStylePr>
  </w:style>
  <w:style w:type="table" w:styleId="Jasnasiatkaakcent6">
    <w:name w:val="Light Grid Accent 6"/>
    <w:basedOn w:val="Standardowy"/>
    <w:uiPriority w:val="62"/>
    <w:semiHidden/>
    <w:unhideWhenUsed/>
    <w:rsid w:val="00C70628"/>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Segoe UI Light" w:eastAsia="MS Gothic" w:hAnsi="Segoe U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Segoe UI Light" w:eastAsia="MS Gothic" w:hAnsi="Segoe U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Segoe UI Light" w:eastAsia="MS Gothic" w:hAnsi="Segoe UI Light" w:cs="Times New Roman"/>
        <w:b/>
        <w:bCs/>
      </w:rPr>
    </w:tblStylePr>
    <w:tblStylePr w:type="lastCol">
      <w:rPr>
        <w:rFonts w:ascii="Segoe UI Light" w:eastAsia="MS Gothic" w:hAnsi="Segoe U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Jasnalista">
    <w:name w:val="Light List"/>
    <w:basedOn w:val="Standardowy"/>
    <w:uiPriority w:val="61"/>
    <w:semiHidden/>
    <w:unhideWhenUsed/>
    <w:rsid w:val="00C706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61"/>
    <w:semiHidden/>
    <w:unhideWhenUsed/>
    <w:rsid w:val="00C70628"/>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Jasnalistaakcent2">
    <w:name w:val="Light List Accent 2"/>
    <w:basedOn w:val="Standardowy"/>
    <w:uiPriority w:val="61"/>
    <w:semiHidden/>
    <w:unhideWhenUsed/>
    <w:rsid w:val="00C70628"/>
    <w:tblPr>
      <w:tblStyleRowBandSize w:val="1"/>
      <w:tblStyleColBandSize w:val="1"/>
      <w:tblBorders>
        <w:top w:val="single" w:sz="8" w:space="0" w:color="FF0000"/>
        <w:left w:val="single" w:sz="8" w:space="0" w:color="FF0000"/>
        <w:bottom w:val="single" w:sz="8" w:space="0" w:color="FF0000"/>
        <w:right w:val="single" w:sz="8" w:space="0" w:color="FF0000"/>
      </w:tblBorders>
    </w:tblPr>
    <w:tblStylePr w:type="firstRow">
      <w:pPr>
        <w:spacing w:before="0" w:after="0" w:line="240" w:lineRule="auto"/>
      </w:pPr>
      <w:rPr>
        <w:b/>
        <w:bCs/>
        <w:color w:val="FFFFFF"/>
      </w:rPr>
      <w:tblPr/>
      <w:tcPr>
        <w:shd w:val="clear" w:color="auto" w:fill="FF0000"/>
      </w:tcPr>
    </w:tblStylePr>
    <w:tblStylePr w:type="lastRow">
      <w:pPr>
        <w:spacing w:before="0" w:after="0" w:line="240" w:lineRule="auto"/>
      </w:pPr>
      <w:rPr>
        <w:b/>
        <w:bCs/>
      </w:rPr>
      <w:tblPr/>
      <w:tcPr>
        <w:tcBorders>
          <w:top w:val="double" w:sz="6" w:space="0" w:color="FF0000"/>
          <w:left w:val="single" w:sz="8" w:space="0" w:color="FF0000"/>
          <w:bottom w:val="single" w:sz="8" w:space="0" w:color="FF0000"/>
          <w:right w:val="single" w:sz="8" w:space="0" w:color="FF0000"/>
        </w:tcBorders>
      </w:tcPr>
    </w:tblStylePr>
    <w:tblStylePr w:type="firstCol">
      <w:rPr>
        <w:b/>
        <w:bCs/>
      </w:rPr>
    </w:tblStylePr>
    <w:tblStylePr w:type="lastCol">
      <w:rPr>
        <w:b/>
        <w:bCs/>
      </w:rPr>
    </w:tblStylePr>
    <w:tblStylePr w:type="band1Vert">
      <w:tblPr/>
      <w:tcPr>
        <w:tcBorders>
          <w:top w:val="single" w:sz="8" w:space="0" w:color="FF0000"/>
          <w:left w:val="single" w:sz="8" w:space="0" w:color="FF0000"/>
          <w:bottom w:val="single" w:sz="8" w:space="0" w:color="FF0000"/>
          <w:right w:val="single" w:sz="8" w:space="0" w:color="FF0000"/>
        </w:tcBorders>
      </w:tcPr>
    </w:tblStylePr>
    <w:tblStylePr w:type="band1Horz">
      <w:tblPr/>
      <w:tcPr>
        <w:tcBorders>
          <w:top w:val="single" w:sz="8" w:space="0" w:color="FF0000"/>
          <w:left w:val="single" w:sz="8" w:space="0" w:color="FF0000"/>
          <w:bottom w:val="single" w:sz="8" w:space="0" w:color="FF0000"/>
          <w:right w:val="single" w:sz="8" w:space="0" w:color="FF0000"/>
        </w:tcBorders>
      </w:tcPr>
    </w:tblStylePr>
  </w:style>
  <w:style w:type="table" w:styleId="Jasnalistaakcent3">
    <w:name w:val="Light List Accent 3"/>
    <w:basedOn w:val="Standardowy"/>
    <w:uiPriority w:val="61"/>
    <w:semiHidden/>
    <w:unhideWhenUsed/>
    <w:rsid w:val="00C70628"/>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Jasnalistaakcent4">
    <w:name w:val="Light List Accent 4"/>
    <w:basedOn w:val="Standardowy"/>
    <w:uiPriority w:val="61"/>
    <w:semiHidden/>
    <w:unhideWhenUsed/>
    <w:rsid w:val="00C70628"/>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styleId="Jasnalistaakcent5">
    <w:name w:val="Light List Accent 5"/>
    <w:basedOn w:val="Standardowy"/>
    <w:uiPriority w:val="61"/>
    <w:semiHidden/>
    <w:unhideWhenUsed/>
    <w:rsid w:val="00C70628"/>
    <w:tblPr>
      <w:tblStyleRowBandSize w:val="1"/>
      <w:tblStyleColBandSize w:val="1"/>
      <w:tblBorders>
        <w:top w:val="single" w:sz="8" w:space="0" w:color="2B579A"/>
        <w:left w:val="single" w:sz="8" w:space="0" w:color="2B579A"/>
        <w:bottom w:val="single" w:sz="8" w:space="0" w:color="2B579A"/>
        <w:right w:val="single" w:sz="8" w:space="0" w:color="2B579A"/>
      </w:tblBorders>
    </w:tblPr>
    <w:tblStylePr w:type="firstRow">
      <w:pPr>
        <w:spacing w:before="0" w:after="0" w:line="240" w:lineRule="auto"/>
      </w:pPr>
      <w:rPr>
        <w:b/>
        <w:bCs/>
        <w:color w:val="FFFFFF"/>
      </w:rPr>
      <w:tblPr/>
      <w:tcPr>
        <w:shd w:val="clear" w:color="auto" w:fill="2B579A"/>
      </w:tcPr>
    </w:tblStylePr>
    <w:tblStylePr w:type="lastRow">
      <w:pPr>
        <w:spacing w:before="0" w:after="0" w:line="240" w:lineRule="auto"/>
      </w:pPr>
      <w:rPr>
        <w:b/>
        <w:bCs/>
      </w:rPr>
      <w:tblPr/>
      <w:tcPr>
        <w:tcBorders>
          <w:top w:val="double" w:sz="6" w:space="0" w:color="2B579A"/>
          <w:left w:val="single" w:sz="8" w:space="0" w:color="2B579A"/>
          <w:bottom w:val="single" w:sz="8" w:space="0" w:color="2B579A"/>
          <w:right w:val="single" w:sz="8" w:space="0" w:color="2B579A"/>
        </w:tcBorders>
      </w:tcPr>
    </w:tblStylePr>
    <w:tblStylePr w:type="firstCol">
      <w:rPr>
        <w:b/>
        <w:bCs/>
      </w:rPr>
    </w:tblStylePr>
    <w:tblStylePr w:type="lastCol">
      <w:rPr>
        <w:b/>
        <w:bCs/>
      </w:rPr>
    </w:tblStylePr>
    <w:tblStylePr w:type="band1Vert">
      <w:tblPr/>
      <w:tcPr>
        <w:tcBorders>
          <w:top w:val="single" w:sz="8" w:space="0" w:color="2B579A"/>
          <w:left w:val="single" w:sz="8" w:space="0" w:color="2B579A"/>
          <w:bottom w:val="single" w:sz="8" w:space="0" w:color="2B579A"/>
          <w:right w:val="single" w:sz="8" w:space="0" w:color="2B579A"/>
        </w:tcBorders>
      </w:tcPr>
    </w:tblStylePr>
    <w:tblStylePr w:type="band1Horz">
      <w:tblPr/>
      <w:tcPr>
        <w:tcBorders>
          <w:top w:val="single" w:sz="8" w:space="0" w:color="2B579A"/>
          <w:left w:val="single" w:sz="8" w:space="0" w:color="2B579A"/>
          <w:bottom w:val="single" w:sz="8" w:space="0" w:color="2B579A"/>
          <w:right w:val="single" w:sz="8" w:space="0" w:color="2B579A"/>
        </w:tcBorders>
      </w:tcPr>
    </w:tblStylePr>
  </w:style>
  <w:style w:type="table" w:styleId="Jasnalistaakcent6">
    <w:name w:val="Light List Accent 6"/>
    <w:basedOn w:val="Standardowy"/>
    <w:uiPriority w:val="61"/>
    <w:semiHidden/>
    <w:unhideWhenUsed/>
    <w:rsid w:val="00C70628"/>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Jasnecieniowanie">
    <w:name w:val="Light Shading"/>
    <w:basedOn w:val="Standardowy"/>
    <w:uiPriority w:val="60"/>
    <w:semiHidden/>
    <w:unhideWhenUsed/>
    <w:rsid w:val="00C706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60"/>
    <w:semiHidden/>
    <w:unhideWhenUsed/>
    <w:rsid w:val="00C70628"/>
    <w:rPr>
      <w:color w:val="2E74B5"/>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styleId="Jasnecieniowanieakcent2">
    <w:name w:val="Light Shading Accent 2"/>
    <w:basedOn w:val="Standardowy"/>
    <w:uiPriority w:val="60"/>
    <w:semiHidden/>
    <w:unhideWhenUsed/>
    <w:rsid w:val="00C70628"/>
    <w:rPr>
      <w:color w:val="BF0000"/>
    </w:rPr>
    <w:tblPr>
      <w:tblStyleRowBandSize w:val="1"/>
      <w:tblStyleColBandSize w:val="1"/>
      <w:tblBorders>
        <w:top w:val="single" w:sz="8" w:space="0" w:color="FF0000"/>
        <w:bottom w:val="single" w:sz="8" w:space="0" w:color="FF0000"/>
      </w:tblBorders>
    </w:tblPr>
    <w:tblStylePr w:type="firstRow">
      <w:pPr>
        <w:spacing w:before="0" w:after="0" w:line="240" w:lineRule="auto"/>
      </w:pPr>
      <w:rPr>
        <w:b/>
        <w:bCs/>
      </w:rPr>
      <w:tblPr/>
      <w:tcPr>
        <w:tcBorders>
          <w:top w:val="single" w:sz="8" w:space="0" w:color="FF0000"/>
          <w:left w:val="nil"/>
          <w:bottom w:val="single" w:sz="8" w:space="0" w:color="FF0000"/>
          <w:right w:val="nil"/>
          <w:insideH w:val="nil"/>
          <w:insideV w:val="nil"/>
        </w:tcBorders>
      </w:tcPr>
    </w:tblStylePr>
    <w:tblStylePr w:type="lastRow">
      <w:pPr>
        <w:spacing w:before="0" w:after="0" w:line="240" w:lineRule="auto"/>
      </w:pPr>
      <w:rPr>
        <w:b/>
        <w:bCs/>
      </w:rPr>
      <w:tblPr/>
      <w:tcPr>
        <w:tcBorders>
          <w:top w:val="single" w:sz="8" w:space="0" w:color="FF0000"/>
          <w:left w:val="nil"/>
          <w:bottom w:val="single" w:sz="8" w:space="0" w:color="FF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0"/>
      </w:tcPr>
    </w:tblStylePr>
    <w:tblStylePr w:type="band1Horz">
      <w:tblPr/>
      <w:tcPr>
        <w:tcBorders>
          <w:left w:val="nil"/>
          <w:right w:val="nil"/>
          <w:insideH w:val="nil"/>
          <w:insideV w:val="nil"/>
        </w:tcBorders>
        <w:shd w:val="clear" w:color="auto" w:fill="FFC0C0"/>
      </w:tcPr>
    </w:tblStylePr>
  </w:style>
  <w:style w:type="table" w:styleId="Jasnecieniowanieakcent3">
    <w:name w:val="Light Shading Accent 3"/>
    <w:basedOn w:val="Standardowy"/>
    <w:uiPriority w:val="60"/>
    <w:semiHidden/>
    <w:unhideWhenUsed/>
    <w:rsid w:val="00C70628"/>
    <w:rPr>
      <w:color w:val="7B7B7B"/>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styleId="Jasnecieniowanieakcent4">
    <w:name w:val="Light Shading Accent 4"/>
    <w:basedOn w:val="Standardowy"/>
    <w:uiPriority w:val="60"/>
    <w:semiHidden/>
    <w:unhideWhenUsed/>
    <w:rsid w:val="00C70628"/>
    <w:rPr>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Jasnecieniowanieakcent5">
    <w:name w:val="Light Shading Accent 5"/>
    <w:basedOn w:val="Standardowy"/>
    <w:uiPriority w:val="60"/>
    <w:semiHidden/>
    <w:unhideWhenUsed/>
    <w:rsid w:val="00C70628"/>
    <w:rPr>
      <w:color w:val="204173"/>
    </w:rPr>
    <w:tblPr>
      <w:tblStyleRowBandSize w:val="1"/>
      <w:tblStyleColBandSize w:val="1"/>
      <w:tblBorders>
        <w:top w:val="single" w:sz="8" w:space="0" w:color="2B579A"/>
        <w:bottom w:val="single" w:sz="8" w:space="0" w:color="2B579A"/>
      </w:tblBorders>
    </w:tblPr>
    <w:tblStylePr w:type="firstRow">
      <w:pPr>
        <w:spacing w:before="0" w:after="0" w:line="240" w:lineRule="auto"/>
      </w:pPr>
      <w:rPr>
        <w:b/>
        <w:bCs/>
      </w:rPr>
      <w:tblPr/>
      <w:tcPr>
        <w:tcBorders>
          <w:top w:val="single" w:sz="8" w:space="0" w:color="2B579A"/>
          <w:left w:val="nil"/>
          <w:bottom w:val="single" w:sz="8" w:space="0" w:color="2B579A"/>
          <w:right w:val="nil"/>
          <w:insideH w:val="nil"/>
          <w:insideV w:val="nil"/>
        </w:tcBorders>
      </w:tcPr>
    </w:tblStylePr>
    <w:tblStylePr w:type="lastRow">
      <w:pPr>
        <w:spacing w:before="0" w:after="0" w:line="240" w:lineRule="auto"/>
      </w:pPr>
      <w:rPr>
        <w:b/>
        <w:bCs/>
      </w:rPr>
      <w:tblPr/>
      <w:tcPr>
        <w:tcBorders>
          <w:top w:val="single" w:sz="8" w:space="0" w:color="2B579A"/>
          <w:left w:val="nil"/>
          <w:bottom w:val="single" w:sz="8" w:space="0" w:color="2B579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D3EE"/>
      </w:tcPr>
    </w:tblStylePr>
    <w:tblStylePr w:type="band1Horz">
      <w:tblPr/>
      <w:tcPr>
        <w:tcBorders>
          <w:left w:val="nil"/>
          <w:right w:val="nil"/>
          <w:insideH w:val="nil"/>
          <w:insideV w:val="nil"/>
        </w:tcBorders>
        <w:shd w:val="clear" w:color="auto" w:fill="C2D3EE"/>
      </w:tcPr>
    </w:tblStylePr>
  </w:style>
  <w:style w:type="table" w:styleId="Jasnecieniowanieakcent6">
    <w:name w:val="Light Shading Accent 6"/>
    <w:basedOn w:val="Standardowy"/>
    <w:uiPriority w:val="60"/>
    <w:semiHidden/>
    <w:unhideWhenUsed/>
    <w:rsid w:val="00C70628"/>
    <w:rPr>
      <w:color w:val="538135"/>
    </w:rPr>
    <w:tblPr>
      <w:tblStyleRowBandSize w:val="1"/>
      <w:tblStyleColBandSize w:val="1"/>
      <w:tblBorders>
        <w:top w:val="single" w:sz="8" w:space="0" w:color="70AD47"/>
        <w:bottom w:val="single" w:sz="8" w:space="0" w:color="70AD47"/>
      </w:tblBorders>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character" w:styleId="Numerwiersza">
    <w:name w:val="line number"/>
    <w:uiPriority w:val="99"/>
    <w:semiHidden/>
    <w:unhideWhenUsed/>
    <w:rsid w:val="00C70628"/>
    <w:rPr>
      <w:rFonts w:ascii="Segoe UI" w:hAnsi="Segoe UI" w:cs="Segoe UI"/>
    </w:rPr>
  </w:style>
  <w:style w:type="paragraph" w:styleId="Lista">
    <w:name w:val="List"/>
    <w:basedOn w:val="Normalny"/>
    <w:uiPriority w:val="99"/>
    <w:semiHidden/>
    <w:unhideWhenUsed/>
    <w:rsid w:val="00C70628"/>
    <w:pPr>
      <w:ind w:left="360" w:hanging="360"/>
      <w:contextualSpacing/>
    </w:pPr>
  </w:style>
  <w:style w:type="paragraph" w:styleId="Lista2">
    <w:name w:val="List 2"/>
    <w:basedOn w:val="Normalny"/>
    <w:uiPriority w:val="99"/>
    <w:semiHidden/>
    <w:unhideWhenUsed/>
    <w:rsid w:val="00C70628"/>
    <w:pPr>
      <w:ind w:left="720" w:hanging="360"/>
      <w:contextualSpacing/>
    </w:pPr>
  </w:style>
  <w:style w:type="paragraph" w:styleId="Lista3">
    <w:name w:val="List 3"/>
    <w:basedOn w:val="Normalny"/>
    <w:uiPriority w:val="99"/>
    <w:semiHidden/>
    <w:unhideWhenUsed/>
    <w:rsid w:val="00C70628"/>
    <w:pPr>
      <w:ind w:left="1080" w:hanging="360"/>
      <w:contextualSpacing/>
    </w:pPr>
  </w:style>
  <w:style w:type="paragraph" w:styleId="Lista4">
    <w:name w:val="List 4"/>
    <w:basedOn w:val="Normalny"/>
    <w:uiPriority w:val="99"/>
    <w:semiHidden/>
    <w:unhideWhenUsed/>
    <w:rsid w:val="00C70628"/>
    <w:pPr>
      <w:ind w:left="1440" w:hanging="360"/>
      <w:contextualSpacing/>
    </w:pPr>
  </w:style>
  <w:style w:type="paragraph" w:styleId="Lista5">
    <w:name w:val="List 5"/>
    <w:basedOn w:val="Normalny"/>
    <w:uiPriority w:val="99"/>
    <w:semiHidden/>
    <w:unhideWhenUsed/>
    <w:rsid w:val="00C70628"/>
    <w:pPr>
      <w:ind w:left="1800" w:hanging="360"/>
      <w:contextualSpacing/>
    </w:pPr>
  </w:style>
  <w:style w:type="paragraph" w:styleId="Listapunktowana2">
    <w:name w:val="List Bullet 2"/>
    <w:basedOn w:val="Normalny"/>
    <w:uiPriority w:val="99"/>
    <w:semiHidden/>
    <w:unhideWhenUsed/>
    <w:rsid w:val="00C70628"/>
    <w:pPr>
      <w:numPr>
        <w:numId w:val="11"/>
      </w:numPr>
      <w:contextualSpacing/>
    </w:pPr>
  </w:style>
  <w:style w:type="paragraph" w:styleId="Listapunktowana3">
    <w:name w:val="List Bullet 3"/>
    <w:basedOn w:val="Normalny"/>
    <w:uiPriority w:val="99"/>
    <w:semiHidden/>
    <w:unhideWhenUsed/>
    <w:rsid w:val="00C70628"/>
    <w:pPr>
      <w:numPr>
        <w:numId w:val="12"/>
      </w:numPr>
      <w:contextualSpacing/>
    </w:pPr>
  </w:style>
  <w:style w:type="paragraph" w:styleId="Listapunktowana4">
    <w:name w:val="List Bullet 4"/>
    <w:basedOn w:val="Normalny"/>
    <w:uiPriority w:val="99"/>
    <w:semiHidden/>
    <w:unhideWhenUsed/>
    <w:rsid w:val="00C70628"/>
    <w:pPr>
      <w:numPr>
        <w:numId w:val="13"/>
      </w:numPr>
      <w:contextualSpacing/>
    </w:pPr>
  </w:style>
  <w:style w:type="paragraph" w:styleId="Listapunktowana5">
    <w:name w:val="List Bullet 5"/>
    <w:basedOn w:val="Normalny"/>
    <w:uiPriority w:val="99"/>
    <w:semiHidden/>
    <w:unhideWhenUsed/>
    <w:rsid w:val="00C70628"/>
    <w:pPr>
      <w:numPr>
        <w:numId w:val="14"/>
      </w:numPr>
      <w:contextualSpacing/>
    </w:pPr>
  </w:style>
  <w:style w:type="paragraph" w:styleId="Lista-kontynuacja">
    <w:name w:val="List Continue"/>
    <w:basedOn w:val="Normalny"/>
    <w:uiPriority w:val="99"/>
    <w:semiHidden/>
    <w:unhideWhenUsed/>
    <w:rsid w:val="00C70628"/>
    <w:pPr>
      <w:spacing w:after="120"/>
      <w:ind w:left="360"/>
      <w:contextualSpacing/>
    </w:pPr>
  </w:style>
  <w:style w:type="paragraph" w:styleId="Lista-kontynuacja2">
    <w:name w:val="List Continue 2"/>
    <w:basedOn w:val="Normalny"/>
    <w:uiPriority w:val="99"/>
    <w:semiHidden/>
    <w:unhideWhenUsed/>
    <w:rsid w:val="00C70628"/>
    <w:pPr>
      <w:spacing w:after="120"/>
      <w:ind w:left="720"/>
      <w:contextualSpacing/>
    </w:pPr>
  </w:style>
  <w:style w:type="paragraph" w:styleId="Lista-kontynuacja3">
    <w:name w:val="List Continue 3"/>
    <w:basedOn w:val="Normalny"/>
    <w:uiPriority w:val="99"/>
    <w:semiHidden/>
    <w:unhideWhenUsed/>
    <w:rsid w:val="00C70628"/>
    <w:pPr>
      <w:spacing w:after="120"/>
      <w:ind w:left="1080"/>
      <w:contextualSpacing/>
    </w:pPr>
  </w:style>
  <w:style w:type="paragraph" w:styleId="Lista-kontynuacja4">
    <w:name w:val="List Continue 4"/>
    <w:basedOn w:val="Normalny"/>
    <w:uiPriority w:val="99"/>
    <w:semiHidden/>
    <w:unhideWhenUsed/>
    <w:rsid w:val="00C70628"/>
    <w:pPr>
      <w:spacing w:after="120"/>
      <w:ind w:left="1440"/>
      <w:contextualSpacing/>
    </w:pPr>
  </w:style>
  <w:style w:type="paragraph" w:styleId="Lista-kontynuacja5">
    <w:name w:val="List Continue 5"/>
    <w:basedOn w:val="Normalny"/>
    <w:uiPriority w:val="99"/>
    <w:semiHidden/>
    <w:unhideWhenUsed/>
    <w:rsid w:val="00C70628"/>
    <w:pPr>
      <w:spacing w:after="120"/>
      <w:ind w:left="1800"/>
      <w:contextualSpacing/>
    </w:pPr>
  </w:style>
  <w:style w:type="paragraph" w:styleId="Listanumerowana2">
    <w:name w:val="List Number 2"/>
    <w:basedOn w:val="Normalny"/>
    <w:uiPriority w:val="99"/>
    <w:semiHidden/>
    <w:unhideWhenUsed/>
    <w:rsid w:val="00C70628"/>
    <w:pPr>
      <w:numPr>
        <w:numId w:val="15"/>
      </w:numPr>
      <w:contextualSpacing/>
    </w:pPr>
  </w:style>
  <w:style w:type="paragraph" w:styleId="Listanumerowana3">
    <w:name w:val="List Number 3"/>
    <w:basedOn w:val="Normalny"/>
    <w:uiPriority w:val="99"/>
    <w:semiHidden/>
    <w:unhideWhenUsed/>
    <w:rsid w:val="00C70628"/>
    <w:pPr>
      <w:numPr>
        <w:numId w:val="16"/>
      </w:numPr>
      <w:contextualSpacing/>
    </w:pPr>
  </w:style>
  <w:style w:type="paragraph" w:styleId="Listanumerowana4">
    <w:name w:val="List Number 4"/>
    <w:basedOn w:val="Normalny"/>
    <w:uiPriority w:val="99"/>
    <w:semiHidden/>
    <w:unhideWhenUsed/>
    <w:rsid w:val="00C70628"/>
    <w:pPr>
      <w:numPr>
        <w:numId w:val="17"/>
      </w:numPr>
      <w:contextualSpacing/>
    </w:pPr>
  </w:style>
  <w:style w:type="paragraph" w:styleId="Listanumerowana5">
    <w:name w:val="List Number 5"/>
    <w:basedOn w:val="Normalny"/>
    <w:uiPriority w:val="99"/>
    <w:semiHidden/>
    <w:unhideWhenUsed/>
    <w:rsid w:val="00C70628"/>
    <w:pPr>
      <w:numPr>
        <w:numId w:val="18"/>
      </w:numPr>
      <w:contextualSpacing/>
    </w:pPr>
  </w:style>
  <w:style w:type="paragraph" w:styleId="Akapitzlist">
    <w:name w:val="List Paragraph"/>
    <w:basedOn w:val="Normalny"/>
    <w:uiPriority w:val="34"/>
    <w:unhideWhenUsed/>
    <w:qFormat/>
    <w:rsid w:val="00C70628"/>
    <w:pPr>
      <w:ind w:left="720"/>
      <w:contextualSpacing/>
    </w:pPr>
  </w:style>
  <w:style w:type="table" w:styleId="Tabelalisty1jasna">
    <w:name w:val="List Table 1 Light"/>
    <w:basedOn w:val="Standardowy"/>
    <w:uiPriority w:val="46"/>
    <w:rsid w:val="00C70628"/>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elalisty1jasnaakcent1">
    <w:name w:val="List Table 1 Light Accent 1"/>
    <w:basedOn w:val="Standardowy"/>
    <w:uiPriority w:val="46"/>
    <w:rsid w:val="00C70628"/>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listy1jasnaakcent2">
    <w:name w:val="List Table 1 Light Accent 2"/>
    <w:basedOn w:val="Standardowy"/>
    <w:uiPriority w:val="46"/>
    <w:rsid w:val="00C70628"/>
    <w:tblPr>
      <w:tblStyleRowBandSize w:val="1"/>
      <w:tblStyleColBandSize w:val="1"/>
    </w:tblPr>
    <w:tblStylePr w:type="firstRow">
      <w:rPr>
        <w:b/>
        <w:bCs/>
      </w:rPr>
      <w:tblPr/>
      <w:tcPr>
        <w:tcBorders>
          <w:bottom w:val="single" w:sz="4" w:space="0" w:color="FF6666"/>
        </w:tcBorders>
      </w:tcPr>
    </w:tblStylePr>
    <w:tblStylePr w:type="lastRow">
      <w:rPr>
        <w:b/>
        <w:bCs/>
      </w:rPr>
      <w:tblPr/>
      <w:tcPr>
        <w:tcBorders>
          <w:top w:val="single" w:sz="4" w:space="0" w:color="FF6666"/>
        </w:tcBorders>
      </w:tcPr>
    </w:tblStylePr>
    <w:tblStylePr w:type="firstCol">
      <w:rPr>
        <w:b/>
        <w:bCs/>
      </w:rPr>
    </w:tblStylePr>
    <w:tblStylePr w:type="lastCol">
      <w:rPr>
        <w:b/>
        <w:bCs/>
      </w:rPr>
    </w:tblStylePr>
    <w:tblStylePr w:type="band1Vert">
      <w:tblPr/>
      <w:tcPr>
        <w:shd w:val="clear" w:color="auto" w:fill="FFCCCC"/>
      </w:tcPr>
    </w:tblStylePr>
    <w:tblStylePr w:type="band1Horz">
      <w:tblPr/>
      <w:tcPr>
        <w:shd w:val="clear" w:color="auto" w:fill="FFCCCC"/>
      </w:tcPr>
    </w:tblStylePr>
  </w:style>
  <w:style w:type="table" w:styleId="Tabelalisty1jasnaakcent3">
    <w:name w:val="List Table 1 Light Accent 3"/>
    <w:basedOn w:val="Standardowy"/>
    <w:uiPriority w:val="46"/>
    <w:rsid w:val="00C70628"/>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listy1jasnaakcent4">
    <w:name w:val="List Table 1 Light Accent 4"/>
    <w:basedOn w:val="Standardowy"/>
    <w:uiPriority w:val="46"/>
    <w:rsid w:val="00C70628"/>
    <w:tblPr>
      <w:tblStyleRowBandSize w:val="1"/>
      <w:tblStyleColBandSize w:val="1"/>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elalisty1jasnaakcent5">
    <w:name w:val="List Table 1 Light Accent 5"/>
    <w:basedOn w:val="Standardowy"/>
    <w:uiPriority w:val="46"/>
    <w:rsid w:val="00C70628"/>
    <w:tblPr>
      <w:tblStyleRowBandSize w:val="1"/>
      <w:tblStyleColBandSize w:val="1"/>
    </w:tblPr>
    <w:tblStylePr w:type="firstRow">
      <w:rPr>
        <w:b/>
        <w:bCs/>
      </w:rPr>
      <w:tblPr/>
      <w:tcPr>
        <w:tcBorders>
          <w:bottom w:val="single" w:sz="4" w:space="0" w:color="6C95D6"/>
        </w:tcBorders>
      </w:tcPr>
    </w:tblStylePr>
    <w:tblStylePr w:type="lastRow">
      <w:rPr>
        <w:b/>
        <w:bCs/>
      </w:rPr>
      <w:tblPr/>
      <w:tcPr>
        <w:tcBorders>
          <w:top w:val="single" w:sz="4" w:space="0" w:color="6C95D6"/>
        </w:tcBorders>
      </w:tcPr>
    </w:tblStylePr>
    <w:tblStylePr w:type="firstCol">
      <w:rPr>
        <w:b/>
        <w:bCs/>
      </w:rPr>
    </w:tblStylePr>
    <w:tblStylePr w:type="lastCol">
      <w:rPr>
        <w:b/>
        <w:bCs/>
      </w:rPr>
    </w:tblStylePr>
    <w:tblStylePr w:type="band1Vert">
      <w:tblPr/>
      <w:tcPr>
        <w:shd w:val="clear" w:color="auto" w:fill="CEDBF1"/>
      </w:tcPr>
    </w:tblStylePr>
    <w:tblStylePr w:type="band1Horz">
      <w:tblPr/>
      <w:tcPr>
        <w:shd w:val="clear" w:color="auto" w:fill="CEDBF1"/>
      </w:tcPr>
    </w:tblStylePr>
  </w:style>
  <w:style w:type="table" w:styleId="Tabelalisty1jasnaakcent6">
    <w:name w:val="List Table 1 Light Accent 6"/>
    <w:basedOn w:val="Standardowy"/>
    <w:uiPriority w:val="46"/>
    <w:rsid w:val="00C70628"/>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listy2">
    <w:name w:val="List Table 2"/>
    <w:basedOn w:val="Standardowy"/>
    <w:uiPriority w:val="47"/>
    <w:rsid w:val="00C70628"/>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elalisty2akcent1">
    <w:name w:val="List Table 2 Accent 1"/>
    <w:basedOn w:val="Standardowy"/>
    <w:uiPriority w:val="47"/>
    <w:rsid w:val="00C70628"/>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listy2akcent2">
    <w:name w:val="List Table 2 Accent 2"/>
    <w:basedOn w:val="Standardowy"/>
    <w:uiPriority w:val="47"/>
    <w:rsid w:val="00C70628"/>
    <w:tblPr>
      <w:tblStyleRowBandSize w:val="1"/>
      <w:tblStyleColBandSize w:val="1"/>
      <w:tblBorders>
        <w:top w:val="single" w:sz="4" w:space="0" w:color="FF6666"/>
        <w:bottom w:val="single" w:sz="4" w:space="0" w:color="FF6666"/>
        <w:insideH w:val="single" w:sz="4" w:space="0" w:color="FF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CCCC"/>
      </w:tcPr>
    </w:tblStylePr>
    <w:tblStylePr w:type="band1Horz">
      <w:tblPr/>
      <w:tcPr>
        <w:shd w:val="clear" w:color="auto" w:fill="FFCCCC"/>
      </w:tcPr>
    </w:tblStylePr>
  </w:style>
  <w:style w:type="table" w:styleId="Tabelalisty2akcent3">
    <w:name w:val="List Table 2 Accent 3"/>
    <w:basedOn w:val="Standardowy"/>
    <w:uiPriority w:val="47"/>
    <w:rsid w:val="00C70628"/>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listy2akcent4">
    <w:name w:val="List Table 2 Accent 4"/>
    <w:basedOn w:val="Standardowy"/>
    <w:uiPriority w:val="47"/>
    <w:rsid w:val="00C70628"/>
    <w:tblPr>
      <w:tblStyleRowBandSize w:val="1"/>
      <w:tblStyleColBandSize w:val="1"/>
      <w:tblBorders>
        <w:top w:val="single" w:sz="4" w:space="0" w:color="FFD966"/>
        <w:bottom w:val="single" w:sz="4" w:space="0" w:color="FFD966"/>
        <w:insideH w:val="single" w:sz="4" w:space="0" w:color="FFD9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elalisty2akcent5">
    <w:name w:val="List Table 2 Accent 5"/>
    <w:basedOn w:val="Standardowy"/>
    <w:uiPriority w:val="47"/>
    <w:rsid w:val="00C70628"/>
    <w:tblPr>
      <w:tblStyleRowBandSize w:val="1"/>
      <w:tblStyleColBandSize w:val="1"/>
      <w:tblBorders>
        <w:top w:val="single" w:sz="4" w:space="0" w:color="6C95D6"/>
        <w:bottom w:val="single" w:sz="4" w:space="0" w:color="6C95D6"/>
        <w:insideH w:val="single" w:sz="4" w:space="0" w:color="6C95D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EDBF1"/>
      </w:tcPr>
    </w:tblStylePr>
    <w:tblStylePr w:type="band1Horz">
      <w:tblPr/>
      <w:tcPr>
        <w:shd w:val="clear" w:color="auto" w:fill="CEDBF1"/>
      </w:tcPr>
    </w:tblStylePr>
  </w:style>
  <w:style w:type="table" w:styleId="Tabelalisty2akcent6">
    <w:name w:val="List Table 2 Accent 6"/>
    <w:basedOn w:val="Standardowy"/>
    <w:uiPriority w:val="47"/>
    <w:rsid w:val="00C70628"/>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listy3">
    <w:name w:val="List Table 3"/>
    <w:basedOn w:val="Standardowy"/>
    <w:uiPriority w:val="48"/>
    <w:rsid w:val="00C70628"/>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styleId="Tabelalisty3akcent1">
    <w:name w:val="List Table 3 Accent 1"/>
    <w:basedOn w:val="Standardowy"/>
    <w:uiPriority w:val="48"/>
    <w:rsid w:val="00C70628"/>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Tabelalisty3akcent2">
    <w:name w:val="List Table 3 Accent 2"/>
    <w:basedOn w:val="Standardowy"/>
    <w:uiPriority w:val="48"/>
    <w:rsid w:val="00C70628"/>
    <w:tblPr>
      <w:tblStyleRowBandSize w:val="1"/>
      <w:tblStyleColBandSize w:val="1"/>
      <w:tblBorders>
        <w:top w:val="single" w:sz="4" w:space="0" w:color="FF0000"/>
        <w:left w:val="single" w:sz="4" w:space="0" w:color="FF0000"/>
        <w:bottom w:val="single" w:sz="4" w:space="0" w:color="FF0000"/>
        <w:right w:val="single" w:sz="4" w:space="0" w:color="FF0000"/>
      </w:tblBorders>
    </w:tblPr>
    <w:tblStylePr w:type="firstRow">
      <w:rPr>
        <w:b/>
        <w:bCs/>
        <w:color w:val="FFFFFF"/>
      </w:rPr>
      <w:tblPr/>
      <w:tcPr>
        <w:shd w:val="clear" w:color="auto" w:fill="FF0000"/>
      </w:tcPr>
    </w:tblStylePr>
    <w:tblStylePr w:type="lastRow">
      <w:rPr>
        <w:b/>
        <w:bCs/>
      </w:rPr>
      <w:tblPr/>
      <w:tcPr>
        <w:tcBorders>
          <w:top w:val="double" w:sz="4" w:space="0" w:color="FF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0000"/>
          <w:right w:val="single" w:sz="4" w:space="0" w:color="FF0000"/>
        </w:tcBorders>
      </w:tcPr>
    </w:tblStylePr>
    <w:tblStylePr w:type="band1Horz">
      <w:tblPr/>
      <w:tcPr>
        <w:tcBorders>
          <w:top w:val="single" w:sz="4" w:space="0" w:color="FF0000"/>
          <w:bottom w:val="single" w:sz="4" w:space="0" w:color="FF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0000"/>
          <w:left w:val="nil"/>
        </w:tcBorders>
      </w:tcPr>
    </w:tblStylePr>
    <w:tblStylePr w:type="swCell">
      <w:tblPr/>
      <w:tcPr>
        <w:tcBorders>
          <w:top w:val="double" w:sz="4" w:space="0" w:color="FF0000"/>
          <w:right w:val="nil"/>
        </w:tcBorders>
      </w:tcPr>
    </w:tblStylePr>
  </w:style>
  <w:style w:type="table" w:styleId="Tabelalisty3akcent3">
    <w:name w:val="List Table 3 Accent 3"/>
    <w:basedOn w:val="Standardowy"/>
    <w:uiPriority w:val="48"/>
    <w:rsid w:val="00C70628"/>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styleId="Tabelalisty3akcent4">
    <w:name w:val="List Table 3 Accent 4"/>
    <w:basedOn w:val="Standardowy"/>
    <w:uiPriority w:val="48"/>
    <w:rsid w:val="00C70628"/>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styleId="Tabelalisty3akcent5">
    <w:name w:val="List Table 3 Accent 5"/>
    <w:basedOn w:val="Standardowy"/>
    <w:uiPriority w:val="48"/>
    <w:rsid w:val="00C70628"/>
    <w:tblPr>
      <w:tblStyleRowBandSize w:val="1"/>
      <w:tblStyleColBandSize w:val="1"/>
      <w:tblBorders>
        <w:top w:val="single" w:sz="4" w:space="0" w:color="2B579A"/>
        <w:left w:val="single" w:sz="4" w:space="0" w:color="2B579A"/>
        <w:bottom w:val="single" w:sz="4" w:space="0" w:color="2B579A"/>
        <w:right w:val="single" w:sz="4" w:space="0" w:color="2B579A"/>
      </w:tblBorders>
    </w:tblPr>
    <w:tblStylePr w:type="firstRow">
      <w:rPr>
        <w:b/>
        <w:bCs/>
        <w:color w:val="FFFFFF"/>
      </w:rPr>
      <w:tblPr/>
      <w:tcPr>
        <w:shd w:val="clear" w:color="auto" w:fill="2B579A"/>
      </w:tcPr>
    </w:tblStylePr>
    <w:tblStylePr w:type="lastRow">
      <w:rPr>
        <w:b/>
        <w:bCs/>
      </w:rPr>
      <w:tblPr/>
      <w:tcPr>
        <w:tcBorders>
          <w:top w:val="double" w:sz="4" w:space="0" w:color="2B579A"/>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2B579A"/>
          <w:right w:val="single" w:sz="4" w:space="0" w:color="2B579A"/>
        </w:tcBorders>
      </w:tcPr>
    </w:tblStylePr>
    <w:tblStylePr w:type="band1Horz">
      <w:tblPr/>
      <w:tcPr>
        <w:tcBorders>
          <w:top w:val="single" w:sz="4" w:space="0" w:color="2B579A"/>
          <w:bottom w:val="single" w:sz="4" w:space="0" w:color="2B579A"/>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B579A"/>
          <w:left w:val="nil"/>
        </w:tcBorders>
      </w:tcPr>
    </w:tblStylePr>
    <w:tblStylePr w:type="swCell">
      <w:tblPr/>
      <w:tcPr>
        <w:tcBorders>
          <w:top w:val="double" w:sz="4" w:space="0" w:color="2B579A"/>
          <w:right w:val="nil"/>
        </w:tcBorders>
      </w:tcPr>
    </w:tblStylePr>
  </w:style>
  <w:style w:type="table" w:styleId="Tabelalisty3akcent6">
    <w:name w:val="List Table 3 Accent 6"/>
    <w:basedOn w:val="Standardowy"/>
    <w:uiPriority w:val="48"/>
    <w:rsid w:val="00C70628"/>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Tabelalisty4">
    <w:name w:val="List Table 4"/>
    <w:basedOn w:val="Standardowy"/>
    <w:uiPriority w:val="49"/>
    <w:rsid w:val="00C70628"/>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elalisty4akcent1">
    <w:name w:val="List Table 4 Accent 1"/>
    <w:basedOn w:val="Standardowy"/>
    <w:uiPriority w:val="49"/>
    <w:rsid w:val="00C706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listy4akcent2">
    <w:name w:val="List Table 4 Accent 2"/>
    <w:basedOn w:val="Standardowy"/>
    <w:uiPriority w:val="49"/>
    <w:rsid w:val="00C70628"/>
    <w:tblPr>
      <w:tblStyleRowBandSize w:val="1"/>
      <w:tblStyleColBandSize w:val="1"/>
      <w:tblBorders>
        <w:top w:val="single" w:sz="4" w:space="0" w:color="FF6666"/>
        <w:left w:val="single" w:sz="4" w:space="0" w:color="FF6666"/>
        <w:bottom w:val="single" w:sz="4" w:space="0" w:color="FF6666"/>
        <w:right w:val="single" w:sz="4" w:space="0" w:color="FF6666"/>
        <w:insideH w:val="single" w:sz="4" w:space="0" w:color="FF6666"/>
      </w:tblBorders>
    </w:tblPr>
    <w:tblStylePr w:type="firstRow">
      <w:rPr>
        <w:b/>
        <w:bCs/>
        <w:color w:val="FFFFFF"/>
      </w:rPr>
      <w:tblPr/>
      <w:tcPr>
        <w:tcBorders>
          <w:top w:val="single" w:sz="4" w:space="0" w:color="FF0000"/>
          <w:left w:val="single" w:sz="4" w:space="0" w:color="FF0000"/>
          <w:bottom w:val="single" w:sz="4" w:space="0" w:color="FF0000"/>
          <w:right w:val="single" w:sz="4" w:space="0" w:color="FF0000"/>
          <w:insideH w:val="nil"/>
        </w:tcBorders>
        <w:shd w:val="clear" w:color="auto" w:fill="FF0000"/>
      </w:tcPr>
    </w:tblStylePr>
    <w:tblStylePr w:type="lastRow">
      <w:rPr>
        <w:b/>
        <w:bCs/>
      </w:rPr>
      <w:tblPr/>
      <w:tcPr>
        <w:tcBorders>
          <w:top w:val="double" w:sz="4" w:space="0" w:color="FF6666"/>
        </w:tcBorders>
      </w:tcPr>
    </w:tblStylePr>
    <w:tblStylePr w:type="firstCol">
      <w:rPr>
        <w:b/>
        <w:bCs/>
      </w:rPr>
    </w:tblStylePr>
    <w:tblStylePr w:type="lastCol">
      <w:rPr>
        <w:b/>
        <w:bCs/>
      </w:rPr>
    </w:tblStylePr>
    <w:tblStylePr w:type="band1Vert">
      <w:tblPr/>
      <w:tcPr>
        <w:shd w:val="clear" w:color="auto" w:fill="FFCCCC"/>
      </w:tcPr>
    </w:tblStylePr>
    <w:tblStylePr w:type="band1Horz">
      <w:tblPr/>
      <w:tcPr>
        <w:shd w:val="clear" w:color="auto" w:fill="FFCCCC"/>
      </w:tcPr>
    </w:tblStylePr>
  </w:style>
  <w:style w:type="table" w:styleId="Tabelalisty4akcent3">
    <w:name w:val="List Table 4 Accent 3"/>
    <w:basedOn w:val="Standardowy"/>
    <w:uiPriority w:val="49"/>
    <w:rsid w:val="00C70628"/>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listy4akcent4">
    <w:name w:val="List Table 4 Accent 4"/>
    <w:basedOn w:val="Standardowy"/>
    <w:uiPriority w:val="49"/>
    <w:rsid w:val="00C70628"/>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elalisty4akcent5">
    <w:name w:val="List Table 4 Accent 5"/>
    <w:basedOn w:val="Standardowy"/>
    <w:uiPriority w:val="49"/>
    <w:rsid w:val="00C70628"/>
    <w:tblPr>
      <w:tblStyleRowBandSize w:val="1"/>
      <w:tblStyleColBandSize w:val="1"/>
      <w:tblBorders>
        <w:top w:val="single" w:sz="4" w:space="0" w:color="6C95D6"/>
        <w:left w:val="single" w:sz="4" w:space="0" w:color="6C95D6"/>
        <w:bottom w:val="single" w:sz="4" w:space="0" w:color="6C95D6"/>
        <w:right w:val="single" w:sz="4" w:space="0" w:color="6C95D6"/>
        <w:insideH w:val="single" w:sz="4" w:space="0" w:color="6C95D6"/>
      </w:tblBorders>
    </w:tblPr>
    <w:tblStylePr w:type="firstRow">
      <w:rPr>
        <w:b/>
        <w:bCs/>
        <w:color w:val="FFFFFF"/>
      </w:rPr>
      <w:tblPr/>
      <w:tcPr>
        <w:tcBorders>
          <w:top w:val="single" w:sz="4" w:space="0" w:color="2B579A"/>
          <w:left w:val="single" w:sz="4" w:space="0" w:color="2B579A"/>
          <w:bottom w:val="single" w:sz="4" w:space="0" w:color="2B579A"/>
          <w:right w:val="single" w:sz="4" w:space="0" w:color="2B579A"/>
          <w:insideH w:val="nil"/>
        </w:tcBorders>
        <w:shd w:val="clear" w:color="auto" w:fill="2B579A"/>
      </w:tcPr>
    </w:tblStylePr>
    <w:tblStylePr w:type="lastRow">
      <w:rPr>
        <w:b/>
        <w:bCs/>
      </w:rPr>
      <w:tblPr/>
      <w:tcPr>
        <w:tcBorders>
          <w:top w:val="double" w:sz="4" w:space="0" w:color="6C95D6"/>
        </w:tcBorders>
      </w:tcPr>
    </w:tblStylePr>
    <w:tblStylePr w:type="firstCol">
      <w:rPr>
        <w:b/>
        <w:bCs/>
      </w:rPr>
    </w:tblStylePr>
    <w:tblStylePr w:type="lastCol">
      <w:rPr>
        <w:b/>
        <w:bCs/>
      </w:rPr>
    </w:tblStylePr>
    <w:tblStylePr w:type="band1Vert">
      <w:tblPr/>
      <w:tcPr>
        <w:shd w:val="clear" w:color="auto" w:fill="CEDBF1"/>
      </w:tcPr>
    </w:tblStylePr>
    <w:tblStylePr w:type="band1Horz">
      <w:tblPr/>
      <w:tcPr>
        <w:shd w:val="clear" w:color="auto" w:fill="CEDBF1"/>
      </w:tcPr>
    </w:tblStylePr>
  </w:style>
  <w:style w:type="table" w:styleId="Tabelalisty4akcent6">
    <w:name w:val="List Table 4 Accent 6"/>
    <w:basedOn w:val="Standardowy"/>
    <w:uiPriority w:val="49"/>
    <w:rsid w:val="00C70628"/>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listy5ciemna">
    <w:name w:val="List Table 5 Dark"/>
    <w:basedOn w:val="Standardowy"/>
    <w:uiPriority w:val="50"/>
    <w:rsid w:val="00C70628"/>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rsid w:val="00C70628"/>
    <w:rPr>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rsid w:val="00C70628"/>
    <w:rPr>
      <w:color w:val="FFFFFF"/>
    </w:rPr>
    <w:tblPr>
      <w:tblStyleRowBandSize w:val="1"/>
      <w:tblStyleColBandSize w:val="1"/>
      <w:tblBorders>
        <w:top w:val="single" w:sz="24" w:space="0" w:color="FF0000"/>
        <w:left w:val="single" w:sz="24" w:space="0" w:color="FF0000"/>
        <w:bottom w:val="single" w:sz="24" w:space="0" w:color="FF0000"/>
        <w:right w:val="single" w:sz="24" w:space="0" w:color="FF0000"/>
      </w:tblBorders>
    </w:tblPr>
    <w:tcPr>
      <w:shd w:val="clear" w:color="auto" w:fill="FF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rsid w:val="00C70628"/>
    <w:rPr>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rsid w:val="00C70628"/>
    <w:rPr>
      <w:color w:val="FFFFFF"/>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auto" w:fill="FFC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rsid w:val="00C70628"/>
    <w:rPr>
      <w:color w:val="FFFFFF"/>
    </w:rPr>
    <w:tblPr>
      <w:tblStyleRowBandSize w:val="1"/>
      <w:tblStyleColBandSize w:val="1"/>
      <w:tblBorders>
        <w:top w:val="single" w:sz="24" w:space="0" w:color="2B579A"/>
        <w:left w:val="single" w:sz="24" w:space="0" w:color="2B579A"/>
        <w:bottom w:val="single" w:sz="24" w:space="0" w:color="2B579A"/>
        <w:right w:val="single" w:sz="24" w:space="0" w:color="2B579A"/>
      </w:tblBorders>
    </w:tblPr>
    <w:tcPr>
      <w:shd w:val="clear" w:color="auto" w:fill="2B579A"/>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rsid w:val="00C70628"/>
    <w:rPr>
      <w:color w:val="FFFFFF"/>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auto" w:fill="70AD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rsid w:val="00C70628"/>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elalisty6kolorowaakcent1">
    <w:name w:val="List Table 6 Colorful Accent 1"/>
    <w:basedOn w:val="Standardowy"/>
    <w:uiPriority w:val="51"/>
    <w:rsid w:val="00C70628"/>
    <w:rPr>
      <w:color w:val="2E74B5"/>
    </w:rPr>
    <w:tblPr>
      <w:tblStyleRowBandSize w:val="1"/>
      <w:tblStyleColBandSize w:val="1"/>
      <w:tblBorders>
        <w:top w:val="single" w:sz="4" w:space="0" w:color="5B9BD5"/>
        <w:bottom w:val="single" w:sz="4" w:space="0" w:color="5B9BD5"/>
      </w:tblBorders>
    </w:tblPr>
    <w:tblStylePr w:type="firstRow">
      <w:rPr>
        <w:b/>
        <w:bCs/>
      </w:rPr>
      <w:tblPr/>
      <w:tcPr>
        <w:tcBorders>
          <w:bottom w:val="single" w:sz="4" w:space="0" w:color="5B9BD5"/>
        </w:tcBorders>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listy6kolorowaakcent2">
    <w:name w:val="List Table 6 Colorful Accent 2"/>
    <w:basedOn w:val="Standardowy"/>
    <w:uiPriority w:val="51"/>
    <w:rsid w:val="00C70628"/>
    <w:rPr>
      <w:color w:val="BF0000"/>
    </w:rPr>
    <w:tblPr>
      <w:tblStyleRowBandSize w:val="1"/>
      <w:tblStyleColBandSize w:val="1"/>
      <w:tblBorders>
        <w:top w:val="single" w:sz="4" w:space="0" w:color="FF0000"/>
        <w:bottom w:val="single" w:sz="4" w:space="0" w:color="FF0000"/>
      </w:tblBorders>
    </w:tblPr>
    <w:tblStylePr w:type="firstRow">
      <w:rPr>
        <w:b/>
        <w:bCs/>
      </w:rPr>
      <w:tblPr/>
      <w:tcPr>
        <w:tcBorders>
          <w:bottom w:val="single" w:sz="4" w:space="0" w:color="FF0000"/>
        </w:tcBorders>
      </w:tcPr>
    </w:tblStylePr>
    <w:tblStylePr w:type="lastRow">
      <w:rPr>
        <w:b/>
        <w:bCs/>
      </w:rPr>
      <w:tblPr/>
      <w:tcPr>
        <w:tcBorders>
          <w:top w:val="double" w:sz="4" w:space="0" w:color="FF0000"/>
        </w:tcBorders>
      </w:tcPr>
    </w:tblStylePr>
    <w:tblStylePr w:type="firstCol">
      <w:rPr>
        <w:b/>
        <w:bCs/>
      </w:rPr>
    </w:tblStylePr>
    <w:tblStylePr w:type="lastCol">
      <w:rPr>
        <w:b/>
        <w:bCs/>
      </w:rPr>
    </w:tblStylePr>
    <w:tblStylePr w:type="band1Vert">
      <w:tblPr/>
      <w:tcPr>
        <w:shd w:val="clear" w:color="auto" w:fill="FFCCCC"/>
      </w:tcPr>
    </w:tblStylePr>
    <w:tblStylePr w:type="band1Horz">
      <w:tblPr/>
      <w:tcPr>
        <w:shd w:val="clear" w:color="auto" w:fill="FFCCCC"/>
      </w:tcPr>
    </w:tblStylePr>
  </w:style>
  <w:style w:type="table" w:styleId="Tabelalisty6kolorowaakcent3">
    <w:name w:val="List Table 6 Colorful Accent 3"/>
    <w:basedOn w:val="Standardowy"/>
    <w:uiPriority w:val="51"/>
    <w:rsid w:val="00C70628"/>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listy6kolorowaakcent4">
    <w:name w:val="List Table 6 Colorful Accent 4"/>
    <w:basedOn w:val="Standardowy"/>
    <w:uiPriority w:val="51"/>
    <w:rsid w:val="00C70628"/>
    <w:rPr>
      <w:color w:val="BF8F00"/>
    </w:rPr>
    <w:tblPr>
      <w:tblStyleRowBandSize w:val="1"/>
      <w:tblStyleColBandSize w:val="1"/>
      <w:tblBorders>
        <w:top w:val="single" w:sz="4" w:space="0" w:color="FFC000"/>
        <w:bottom w:val="single" w:sz="4" w:space="0" w:color="FFC000"/>
      </w:tblBorders>
    </w:tblPr>
    <w:tblStylePr w:type="firstRow">
      <w:rPr>
        <w:b/>
        <w:bCs/>
      </w:rPr>
      <w:tblPr/>
      <w:tcPr>
        <w:tcBorders>
          <w:bottom w:val="single" w:sz="4" w:space="0" w:color="FFC000"/>
        </w:tcBorders>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elalisty6kolorowaakcent5">
    <w:name w:val="List Table 6 Colorful Accent 5"/>
    <w:basedOn w:val="Standardowy"/>
    <w:uiPriority w:val="51"/>
    <w:rsid w:val="00C70628"/>
    <w:rPr>
      <w:color w:val="204173"/>
    </w:rPr>
    <w:tblPr>
      <w:tblStyleRowBandSize w:val="1"/>
      <w:tblStyleColBandSize w:val="1"/>
      <w:tblBorders>
        <w:top w:val="single" w:sz="4" w:space="0" w:color="2B579A"/>
        <w:bottom w:val="single" w:sz="4" w:space="0" w:color="2B579A"/>
      </w:tblBorders>
    </w:tblPr>
    <w:tblStylePr w:type="firstRow">
      <w:rPr>
        <w:b/>
        <w:bCs/>
      </w:rPr>
      <w:tblPr/>
      <w:tcPr>
        <w:tcBorders>
          <w:bottom w:val="single" w:sz="4" w:space="0" w:color="2B579A"/>
        </w:tcBorders>
      </w:tcPr>
    </w:tblStylePr>
    <w:tblStylePr w:type="lastRow">
      <w:rPr>
        <w:b/>
        <w:bCs/>
      </w:rPr>
      <w:tblPr/>
      <w:tcPr>
        <w:tcBorders>
          <w:top w:val="double" w:sz="4" w:space="0" w:color="2B579A"/>
        </w:tcBorders>
      </w:tcPr>
    </w:tblStylePr>
    <w:tblStylePr w:type="firstCol">
      <w:rPr>
        <w:b/>
        <w:bCs/>
      </w:rPr>
    </w:tblStylePr>
    <w:tblStylePr w:type="lastCol">
      <w:rPr>
        <w:b/>
        <w:bCs/>
      </w:rPr>
    </w:tblStylePr>
    <w:tblStylePr w:type="band1Vert">
      <w:tblPr/>
      <w:tcPr>
        <w:shd w:val="clear" w:color="auto" w:fill="CEDBF1"/>
      </w:tcPr>
    </w:tblStylePr>
    <w:tblStylePr w:type="band1Horz">
      <w:tblPr/>
      <w:tcPr>
        <w:shd w:val="clear" w:color="auto" w:fill="CEDBF1"/>
      </w:tcPr>
    </w:tblStylePr>
  </w:style>
  <w:style w:type="table" w:styleId="Tabelalisty6kolorowaakcent6">
    <w:name w:val="List Table 6 Colorful Accent 6"/>
    <w:basedOn w:val="Standardowy"/>
    <w:uiPriority w:val="51"/>
    <w:rsid w:val="00C70628"/>
    <w:rPr>
      <w:color w:val="538135"/>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listy7kolorowa">
    <w:name w:val="List Table 7 Colorful"/>
    <w:basedOn w:val="Standardowy"/>
    <w:uiPriority w:val="52"/>
    <w:rsid w:val="00C70628"/>
    <w:rPr>
      <w:color w:val="000000"/>
    </w:rPr>
    <w:tblPr>
      <w:tblStyleRowBandSize w:val="1"/>
      <w:tblStyleColBandSize w:val="1"/>
    </w:tblPr>
    <w:tblStylePr w:type="firstRow">
      <w:rPr>
        <w:rFonts w:ascii="Segoe UI Light" w:eastAsia="MS Gothic" w:hAnsi="Segoe UI Light" w:cs="Times New Roman"/>
        <w:i/>
        <w:iCs/>
        <w:sz w:val="26"/>
      </w:rPr>
      <w:tblPr/>
      <w:tcPr>
        <w:tcBorders>
          <w:bottom w:val="single" w:sz="4" w:space="0" w:color="000000"/>
        </w:tcBorders>
        <w:shd w:val="clear" w:color="auto" w:fill="FFFFFF"/>
      </w:tcPr>
    </w:tblStylePr>
    <w:tblStylePr w:type="lastRow">
      <w:rPr>
        <w:rFonts w:ascii="Segoe UI Light" w:eastAsia="MS Gothic" w:hAnsi="Segoe UI Light" w:cs="Times New Roman"/>
        <w:i/>
        <w:iCs/>
        <w:sz w:val="26"/>
      </w:rPr>
      <w:tblPr/>
      <w:tcPr>
        <w:tcBorders>
          <w:top w:val="single" w:sz="4" w:space="0" w:color="000000"/>
        </w:tcBorders>
        <w:shd w:val="clear" w:color="auto" w:fill="FFFFFF"/>
      </w:tcPr>
    </w:tblStylePr>
    <w:tblStylePr w:type="firstCol">
      <w:pPr>
        <w:jc w:val="right"/>
      </w:pPr>
      <w:rPr>
        <w:rFonts w:ascii="Segoe UI Light" w:eastAsia="MS Gothic" w:hAnsi="Segoe UI Light" w:cs="Times New Roman"/>
        <w:i/>
        <w:iCs/>
        <w:sz w:val="26"/>
      </w:rPr>
      <w:tblPr/>
      <w:tcPr>
        <w:tcBorders>
          <w:right w:val="single" w:sz="4" w:space="0" w:color="000000"/>
        </w:tcBorders>
        <w:shd w:val="clear" w:color="auto" w:fill="FFFFFF"/>
      </w:tcPr>
    </w:tblStylePr>
    <w:tblStylePr w:type="lastCol">
      <w:rPr>
        <w:rFonts w:ascii="Segoe UI Light" w:eastAsia="MS Gothic" w:hAnsi="Segoe U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rsid w:val="00C70628"/>
    <w:rPr>
      <w:color w:val="2E74B5"/>
    </w:rPr>
    <w:tblPr>
      <w:tblStyleRowBandSize w:val="1"/>
      <w:tblStyleColBandSize w:val="1"/>
    </w:tblPr>
    <w:tblStylePr w:type="firstRow">
      <w:rPr>
        <w:rFonts w:ascii="Segoe UI Light" w:eastAsia="MS Gothic" w:hAnsi="Segoe UI Light" w:cs="Times New Roman"/>
        <w:i/>
        <w:iCs/>
        <w:sz w:val="26"/>
      </w:rPr>
      <w:tblPr/>
      <w:tcPr>
        <w:tcBorders>
          <w:bottom w:val="single" w:sz="4" w:space="0" w:color="5B9BD5"/>
        </w:tcBorders>
        <w:shd w:val="clear" w:color="auto" w:fill="FFFFFF"/>
      </w:tcPr>
    </w:tblStylePr>
    <w:tblStylePr w:type="lastRow">
      <w:rPr>
        <w:rFonts w:ascii="Segoe UI Light" w:eastAsia="MS Gothic" w:hAnsi="Segoe UI Light" w:cs="Times New Roman"/>
        <w:i/>
        <w:iCs/>
        <w:sz w:val="26"/>
      </w:rPr>
      <w:tblPr/>
      <w:tcPr>
        <w:tcBorders>
          <w:top w:val="single" w:sz="4" w:space="0" w:color="5B9BD5"/>
        </w:tcBorders>
        <w:shd w:val="clear" w:color="auto" w:fill="FFFFFF"/>
      </w:tcPr>
    </w:tblStylePr>
    <w:tblStylePr w:type="firstCol">
      <w:pPr>
        <w:jc w:val="right"/>
      </w:pPr>
      <w:rPr>
        <w:rFonts w:ascii="Segoe UI Light" w:eastAsia="MS Gothic" w:hAnsi="Segoe UI Light" w:cs="Times New Roman"/>
        <w:i/>
        <w:iCs/>
        <w:sz w:val="26"/>
      </w:rPr>
      <w:tblPr/>
      <w:tcPr>
        <w:tcBorders>
          <w:right w:val="single" w:sz="4" w:space="0" w:color="5B9BD5"/>
        </w:tcBorders>
        <w:shd w:val="clear" w:color="auto" w:fill="FFFFFF"/>
      </w:tcPr>
    </w:tblStylePr>
    <w:tblStylePr w:type="lastCol">
      <w:rPr>
        <w:rFonts w:ascii="Segoe UI Light" w:eastAsia="MS Gothic" w:hAnsi="Segoe U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rsid w:val="00C70628"/>
    <w:rPr>
      <w:color w:val="BF0000"/>
    </w:rPr>
    <w:tblPr>
      <w:tblStyleRowBandSize w:val="1"/>
      <w:tblStyleColBandSize w:val="1"/>
    </w:tblPr>
    <w:tblStylePr w:type="firstRow">
      <w:rPr>
        <w:rFonts w:ascii="Segoe UI Light" w:eastAsia="MS Gothic" w:hAnsi="Segoe UI Light" w:cs="Times New Roman"/>
        <w:i/>
        <w:iCs/>
        <w:sz w:val="26"/>
      </w:rPr>
      <w:tblPr/>
      <w:tcPr>
        <w:tcBorders>
          <w:bottom w:val="single" w:sz="4" w:space="0" w:color="FF0000"/>
        </w:tcBorders>
        <w:shd w:val="clear" w:color="auto" w:fill="FFFFFF"/>
      </w:tcPr>
    </w:tblStylePr>
    <w:tblStylePr w:type="lastRow">
      <w:rPr>
        <w:rFonts w:ascii="Segoe UI Light" w:eastAsia="MS Gothic" w:hAnsi="Segoe UI Light" w:cs="Times New Roman"/>
        <w:i/>
        <w:iCs/>
        <w:sz w:val="26"/>
      </w:rPr>
      <w:tblPr/>
      <w:tcPr>
        <w:tcBorders>
          <w:top w:val="single" w:sz="4" w:space="0" w:color="FF0000"/>
        </w:tcBorders>
        <w:shd w:val="clear" w:color="auto" w:fill="FFFFFF"/>
      </w:tcPr>
    </w:tblStylePr>
    <w:tblStylePr w:type="firstCol">
      <w:pPr>
        <w:jc w:val="right"/>
      </w:pPr>
      <w:rPr>
        <w:rFonts w:ascii="Segoe UI Light" w:eastAsia="MS Gothic" w:hAnsi="Segoe UI Light" w:cs="Times New Roman"/>
        <w:i/>
        <w:iCs/>
        <w:sz w:val="26"/>
      </w:rPr>
      <w:tblPr/>
      <w:tcPr>
        <w:tcBorders>
          <w:right w:val="single" w:sz="4" w:space="0" w:color="FF0000"/>
        </w:tcBorders>
        <w:shd w:val="clear" w:color="auto" w:fill="FFFFFF"/>
      </w:tcPr>
    </w:tblStylePr>
    <w:tblStylePr w:type="lastCol">
      <w:rPr>
        <w:rFonts w:ascii="Segoe UI Light" w:eastAsia="MS Gothic" w:hAnsi="Segoe UI Light" w:cs="Times New Roman"/>
        <w:i/>
        <w:iCs/>
        <w:sz w:val="26"/>
      </w:rPr>
      <w:tblPr/>
      <w:tcPr>
        <w:tcBorders>
          <w:left w:val="single" w:sz="4" w:space="0" w:color="FF0000"/>
        </w:tcBorders>
        <w:shd w:val="clear" w:color="auto" w:fill="FFFFFF"/>
      </w:tcPr>
    </w:tblStylePr>
    <w:tblStylePr w:type="band1Vert">
      <w:tblPr/>
      <w:tcPr>
        <w:shd w:val="clear" w:color="auto" w:fill="FFCCCC"/>
      </w:tcPr>
    </w:tblStylePr>
    <w:tblStylePr w:type="band1Horz">
      <w:tblPr/>
      <w:tcPr>
        <w:shd w:val="clear" w:color="auto" w:fill="FF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rsid w:val="00C70628"/>
    <w:rPr>
      <w:color w:val="7B7B7B"/>
    </w:rPr>
    <w:tblPr>
      <w:tblStyleRowBandSize w:val="1"/>
      <w:tblStyleColBandSize w:val="1"/>
    </w:tblPr>
    <w:tblStylePr w:type="firstRow">
      <w:rPr>
        <w:rFonts w:ascii="Segoe UI Light" w:eastAsia="MS Gothic" w:hAnsi="Segoe UI Light" w:cs="Times New Roman"/>
        <w:i/>
        <w:iCs/>
        <w:sz w:val="26"/>
      </w:rPr>
      <w:tblPr/>
      <w:tcPr>
        <w:tcBorders>
          <w:bottom w:val="single" w:sz="4" w:space="0" w:color="A5A5A5"/>
        </w:tcBorders>
        <w:shd w:val="clear" w:color="auto" w:fill="FFFFFF"/>
      </w:tcPr>
    </w:tblStylePr>
    <w:tblStylePr w:type="lastRow">
      <w:rPr>
        <w:rFonts w:ascii="Segoe UI Light" w:eastAsia="MS Gothic" w:hAnsi="Segoe UI Light" w:cs="Times New Roman"/>
        <w:i/>
        <w:iCs/>
        <w:sz w:val="26"/>
      </w:rPr>
      <w:tblPr/>
      <w:tcPr>
        <w:tcBorders>
          <w:top w:val="single" w:sz="4" w:space="0" w:color="A5A5A5"/>
        </w:tcBorders>
        <w:shd w:val="clear" w:color="auto" w:fill="FFFFFF"/>
      </w:tcPr>
    </w:tblStylePr>
    <w:tblStylePr w:type="firstCol">
      <w:pPr>
        <w:jc w:val="right"/>
      </w:pPr>
      <w:rPr>
        <w:rFonts w:ascii="Segoe UI Light" w:eastAsia="MS Gothic" w:hAnsi="Segoe UI Light" w:cs="Times New Roman"/>
        <w:i/>
        <w:iCs/>
        <w:sz w:val="26"/>
      </w:rPr>
      <w:tblPr/>
      <w:tcPr>
        <w:tcBorders>
          <w:right w:val="single" w:sz="4" w:space="0" w:color="A5A5A5"/>
        </w:tcBorders>
        <w:shd w:val="clear" w:color="auto" w:fill="FFFFFF"/>
      </w:tcPr>
    </w:tblStylePr>
    <w:tblStylePr w:type="lastCol">
      <w:rPr>
        <w:rFonts w:ascii="Segoe UI Light" w:eastAsia="MS Gothic" w:hAnsi="Segoe U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rsid w:val="00C70628"/>
    <w:rPr>
      <w:color w:val="BF8F00"/>
    </w:rPr>
    <w:tblPr>
      <w:tblStyleRowBandSize w:val="1"/>
      <w:tblStyleColBandSize w:val="1"/>
    </w:tblPr>
    <w:tblStylePr w:type="firstRow">
      <w:rPr>
        <w:rFonts w:ascii="Segoe UI Light" w:eastAsia="MS Gothic" w:hAnsi="Segoe UI Light" w:cs="Times New Roman"/>
        <w:i/>
        <w:iCs/>
        <w:sz w:val="26"/>
      </w:rPr>
      <w:tblPr/>
      <w:tcPr>
        <w:tcBorders>
          <w:bottom w:val="single" w:sz="4" w:space="0" w:color="FFC000"/>
        </w:tcBorders>
        <w:shd w:val="clear" w:color="auto" w:fill="FFFFFF"/>
      </w:tcPr>
    </w:tblStylePr>
    <w:tblStylePr w:type="lastRow">
      <w:rPr>
        <w:rFonts w:ascii="Segoe UI Light" w:eastAsia="MS Gothic" w:hAnsi="Segoe UI Light" w:cs="Times New Roman"/>
        <w:i/>
        <w:iCs/>
        <w:sz w:val="26"/>
      </w:rPr>
      <w:tblPr/>
      <w:tcPr>
        <w:tcBorders>
          <w:top w:val="single" w:sz="4" w:space="0" w:color="FFC000"/>
        </w:tcBorders>
        <w:shd w:val="clear" w:color="auto" w:fill="FFFFFF"/>
      </w:tcPr>
    </w:tblStylePr>
    <w:tblStylePr w:type="firstCol">
      <w:pPr>
        <w:jc w:val="right"/>
      </w:pPr>
      <w:rPr>
        <w:rFonts w:ascii="Segoe UI Light" w:eastAsia="MS Gothic" w:hAnsi="Segoe UI Light" w:cs="Times New Roman"/>
        <w:i/>
        <w:iCs/>
        <w:sz w:val="26"/>
      </w:rPr>
      <w:tblPr/>
      <w:tcPr>
        <w:tcBorders>
          <w:right w:val="single" w:sz="4" w:space="0" w:color="FFC000"/>
        </w:tcBorders>
        <w:shd w:val="clear" w:color="auto" w:fill="FFFFFF"/>
      </w:tcPr>
    </w:tblStylePr>
    <w:tblStylePr w:type="lastCol">
      <w:rPr>
        <w:rFonts w:ascii="Segoe UI Light" w:eastAsia="MS Gothic" w:hAnsi="Segoe UI Light" w:cs="Times New Roman"/>
        <w:i/>
        <w:iCs/>
        <w:sz w:val="26"/>
      </w:rPr>
      <w:tblPr/>
      <w:tcPr>
        <w:tcBorders>
          <w:left w:val="single" w:sz="4" w:space="0" w:color="FFC000"/>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rsid w:val="00C70628"/>
    <w:rPr>
      <w:color w:val="204173"/>
    </w:rPr>
    <w:tblPr>
      <w:tblStyleRowBandSize w:val="1"/>
      <w:tblStyleColBandSize w:val="1"/>
    </w:tblPr>
    <w:tblStylePr w:type="firstRow">
      <w:rPr>
        <w:rFonts w:ascii="Segoe UI Light" w:eastAsia="MS Gothic" w:hAnsi="Segoe UI Light" w:cs="Times New Roman"/>
        <w:i/>
        <w:iCs/>
        <w:sz w:val="26"/>
      </w:rPr>
      <w:tblPr/>
      <w:tcPr>
        <w:tcBorders>
          <w:bottom w:val="single" w:sz="4" w:space="0" w:color="2B579A"/>
        </w:tcBorders>
        <w:shd w:val="clear" w:color="auto" w:fill="FFFFFF"/>
      </w:tcPr>
    </w:tblStylePr>
    <w:tblStylePr w:type="lastRow">
      <w:rPr>
        <w:rFonts w:ascii="Segoe UI Light" w:eastAsia="MS Gothic" w:hAnsi="Segoe UI Light" w:cs="Times New Roman"/>
        <w:i/>
        <w:iCs/>
        <w:sz w:val="26"/>
      </w:rPr>
      <w:tblPr/>
      <w:tcPr>
        <w:tcBorders>
          <w:top w:val="single" w:sz="4" w:space="0" w:color="2B579A"/>
        </w:tcBorders>
        <w:shd w:val="clear" w:color="auto" w:fill="FFFFFF"/>
      </w:tcPr>
    </w:tblStylePr>
    <w:tblStylePr w:type="firstCol">
      <w:pPr>
        <w:jc w:val="right"/>
      </w:pPr>
      <w:rPr>
        <w:rFonts w:ascii="Segoe UI Light" w:eastAsia="MS Gothic" w:hAnsi="Segoe UI Light" w:cs="Times New Roman"/>
        <w:i/>
        <w:iCs/>
        <w:sz w:val="26"/>
      </w:rPr>
      <w:tblPr/>
      <w:tcPr>
        <w:tcBorders>
          <w:right w:val="single" w:sz="4" w:space="0" w:color="2B579A"/>
        </w:tcBorders>
        <w:shd w:val="clear" w:color="auto" w:fill="FFFFFF"/>
      </w:tcPr>
    </w:tblStylePr>
    <w:tblStylePr w:type="lastCol">
      <w:rPr>
        <w:rFonts w:ascii="Segoe UI Light" w:eastAsia="MS Gothic" w:hAnsi="Segoe UI Light" w:cs="Times New Roman"/>
        <w:i/>
        <w:iCs/>
        <w:sz w:val="26"/>
      </w:rPr>
      <w:tblPr/>
      <w:tcPr>
        <w:tcBorders>
          <w:left w:val="single" w:sz="4" w:space="0" w:color="2B579A"/>
        </w:tcBorders>
        <w:shd w:val="clear" w:color="auto" w:fill="FFFFFF"/>
      </w:tcPr>
    </w:tblStylePr>
    <w:tblStylePr w:type="band1Vert">
      <w:tblPr/>
      <w:tcPr>
        <w:shd w:val="clear" w:color="auto" w:fill="CEDBF1"/>
      </w:tcPr>
    </w:tblStylePr>
    <w:tblStylePr w:type="band1Horz">
      <w:tblPr/>
      <w:tcPr>
        <w:shd w:val="clear" w:color="auto" w:fill="CEDB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rsid w:val="00C70628"/>
    <w:rPr>
      <w:color w:val="538135"/>
    </w:rPr>
    <w:tblPr>
      <w:tblStyleRowBandSize w:val="1"/>
      <w:tblStyleColBandSize w:val="1"/>
    </w:tblPr>
    <w:tblStylePr w:type="firstRow">
      <w:rPr>
        <w:rFonts w:ascii="Segoe UI Light" w:eastAsia="MS Gothic" w:hAnsi="Segoe UI Light" w:cs="Times New Roman"/>
        <w:i/>
        <w:iCs/>
        <w:sz w:val="26"/>
      </w:rPr>
      <w:tblPr/>
      <w:tcPr>
        <w:tcBorders>
          <w:bottom w:val="single" w:sz="4" w:space="0" w:color="70AD47"/>
        </w:tcBorders>
        <w:shd w:val="clear" w:color="auto" w:fill="FFFFFF"/>
      </w:tcPr>
    </w:tblStylePr>
    <w:tblStylePr w:type="lastRow">
      <w:rPr>
        <w:rFonts w:ascii="Segoe UI Light" w:eastAsia="MS Gothic" w:hAnsi="Segoe UI Light" w:cs="Times New Roman"/>
        <w:i/>
        <w:iCs/>
        <w:sz w:val="26"/>
      </w:rPr>
      <w:tblPr/>
      <w:tcPr>
        <w:tcBorders>
          <w:top w:val="single" w:sz="4" w:space="0" w:color="70AD47"/>
        </w:tcBorders>
        <w:shd w:val="clear" w:color="auto" w:fill="FFFFFF"/>
      </w:tcPr>
    </w:tblStylePr>
    <w:tblStylePr w:type="firstCol">
      <w:pPr>
        <w:jc w:val="right"/>
      </w:pPr>
      <w:rPr>
        <w:rFonts w:ascii="Segoe UI Light" w:eastAsia="MS Gothic" w:hAnsi="Segoe UI Light" w:cs="Times New Roman"/>
        <w:i/>
        <w:iCs/>
        <w:sz w:val="26"/>
      </w:rPr>
      <w:tblPr/>
      <w:tcPr>
        <w:tcBorders>
          <w:right w:val="single" w:sz="4" w:space="0" w:color="70AD47"/>
        </w:tcBorders>
        <w:shd w:val="clear" w:color="auto" w:fill="FFFFFF"/>
      </w:tcPr>
    </w:tblStylePr>
    <w:tblStylePr w:type="lastCol">
      <w:rPr>
        <w:rFonts w:ascii="Segoe UI Light" w:eastAsia="MS Gothic" w:hAnsi="Segoe U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kstmakra">
    <w:name w:val="macro"/>
    <w:link w:val="TekstmakraZnak"/>
    <w:uiPriority w:val="99"/>
    <w:semiHidden/>
    <w:unhideWhenUsed/>
    <w:rsid w:val="00C70628"/>
    <w:pPr>
      <w:tabs>
        <w:tab w:val="left" w:pos="480"/>
        <w:tab w:val="left" w:pos="960"/>
        <w:tab w:val="left" w:pos="1440"/>
        <w:tab w:val="left" w:pos="1920"/>
        <w:tab w:val="left" w:pos="2400"/>
        <w:tab w:val="left" w:pos="2880"/>
        <w:tab w:val="left" w:pos="3360"/>
        <w:tab w:val="left" w:pos="3840"/>
        <w:tab w:val="left" w:pos="4320"/>
      </w:tabs>
      <w:spacing w:before="160" w:line="259" w:lineRule="auto"/>
    </w:pPr>
    <w:rPr>
      <w:rFonts w:ascii="Consolas" w:hAnsi="Consolas" w:cs="Consolas"/>
      <w:sz w:val="22"/>
      <w:lang w:eastAsia="en-US"/>
    </w:rPr>
  </w:style>
  <w:style w:type="character" w:customStyle="1" w:styleId="TekstmakraZnak">
    <w:name w:val="Tekst makra Znak"/>
    <w:link w:val="Tekstmakra"/>
    <w:uiPriority w:val="99"/>
    <w:semiHidden/>
    <w:rsid w:val="00C70628"/>
    <w:rPr>
      <w:rFonts w:ascii="Consolas" w:hAnsi="Consolas" w:cs="Consolas"/>
      <w:szCs w:val="20"/>
    </w:rPr>
  </w:style>
  <w:style w:type="table" w:styleId="redniasiatka1">
    <w:name w:val="Medium Grid 1"/>
    <w:basedOn w:val="Standardowy"/>
    <w:uiPriority w:val="67"/>
    <w:semiHidden/>
    <w:unhideWhenUsed/>
    <w:rsid w:val="00C706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67"/>
    <w:semiHidden/>
    <w:unhideWhenUsed/>
    <w:rsid w:val="00C70628"/>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styleId="redniasiatka1akcent2">
    <w:name w:val="Medium Grid 1 Accent 2"/>
    <w:basedOn w:val="Standardowy"/>
    <w:uiPriority w:val="67"/>
    <w:semiHidden/>
    <w:unhideWhenUsed/>
    <w:rsid w:val="00C70628"/>
    <w:tblPr>
      <w:tblStyleRowBandSize w:val="1"/>
      <w:tblStyleColBandSize w:val="1"/>
      <w:tblBorders>
        <w:top w:val="single" w:sz="8" w:space="0" w:color="FF4040"/>
        <w:left w:val="single" w:sz="8" w:space="0" w:color="FF4040"/>
        <w:bottom w:val="single" w:sz="8" w:space="0" w:color="FF4040"/>
        <w:right w:val="single" w:sz="8" w:space="0" w:color="FF4040"/>
        <w:insideH w:val="single" w:sz="8" w:space="0" w:color="FF4040"/>
        <w:insideV w:val="single" w:sz="8" w:space="0" w:color="FF4040"/>
      </w:tblBorders>
    </w:tblPr>
    <w:tcPr>
      <w:shd w:val="clear" w:color="auto" w:fill="FFC0C0"/>
    </w:tcPr>
    <w:tblStylePr w:type="firstRow">
      <w:rPr>
        <w:b/>
        <w:bCs/>
      </w:rPr>
    </w:tblStylePr>
    <w:tblStylePr w:type="lastRow">
      <w:rPr>
        <w:b/>
        <w:bCs/>
      </w:rPr>
      <w:tblPr/>
      <w:tcPr>
        <w:tcBorders>
          <w:top w:val="single" w:sz="18" w:space="0" w:color="FF4040"/>
        </w:tcBorders>
      </w:tcPr>
    </w:tblStylePr>
    <w:tblStylePr w:type="firstCol">
      <w:rPr>
        <w:b/>
        <w:bCs/>
      </w:rPr>
    </w:tblStylePr>
    <w:tblStylePr w:type="lastCol">
      <w:rPr>
        <w:b/>
        <w:bCs/>
      </w:rPr>
    </w:tblStylePr>
    <w:tblStylePr w:type="band1Vert">
      <w:tblPr/>
      <w:tcPr>
        <w:shd w:val="clear" w:color="auto" w:fill="FF8080"/>
      </w:tcPr>
    </w:tblStylePr>
    <w:tblStylePr w:type="band1Horz">
      <w:tblPr/>
      <w:tcPr>
        <w:shd w:val="clear" w:color="auto" w:fill="FF8080"/>
      </w:tcPr>
    </w:tblStylePr>
  </w:style>
  <w:style w:type="table" w:styleId="redniasiatka1akcent3">
    <w:name w:val="Medium Grid 1 Accent 3"/>
    <w:basedOn w:val="Standardowy"/>
    <w:uiPriority w:val="67"/>
    <w:semiHidden/>
    <w:unhideWhenUsed/>
    <w:rsid w:val="00C70628"/>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table" w:styleId="redniasiatka1akcent4">
    <w:name w:val="Medium Grid 1 Accent 4"/>
    <w:basedOn w:val="Standardowy"/>
    <w:uiPriority w:val="67"/>
    <w:semiHidden/>
    <w:unhideWhenUsed/>
    <w:rsid w:val="00C70628"/>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redniasiatka1akcent5">
    <w:name w:val="Medium Grid 1 Accent 5"/>
    <w:basedOn w:val="Standardowy"/>
    <w:uiPriority w:val="67"/>
    <w:semiHidden/>
    <w:unhideWhenUsed/>
    <w:rsid w:val="00C70628"/>
    <w:tblPr>
      <w:tblStyleRowBandSize w:val="1"/>
      <w:tblStyleColBandSize w:val="1"/>
      <w:tblBorders>
        <w:top w:val="single" w:sz="8" w:space="0" w:color="477BCB"/>
        <w:left w:val="single" w:sz="8" w:space="0" w:color="477BCB"/>
        <w:bottom w:val="single" w:sz="8" w:space="0" w:color="477BCB"/>
        <w:right w:val="single" w:sz="8" w:space="0" w:color="477BCB"/>
        <w:insideH w:val="single" w:sz="8" w:space="0" w:color="477BCB"/>
        <w:insideV w:val="single" w:sz="8" w:space="0" w:color="477BCB"/>
      </w:tblBorders>
    </w:tblPr>
    <w:tcPr>
      <w:shd w:val="clear" w:color="auto" w:fill="C2D3EE"/>
    </w:tcPr>
    <w:tblStylePr w:type="firstRow">
      <w:rPr>
        <w:b/>
        <w:bCs/>
      </w:rPr>
    </w:tblStylePr>
    <w:tblStylePr w:type="lastRow">
      <w:rPr>
        <w:b/>
        <w:bCs/>
      </w:rPr>
      <w:tblPr/>
      <w:tcPr>
        <w:tcBorders>
          <w:top w:val="single" w:sz="18" w:space="0" w:color="477BCB"/>
        </w:tcBorders>
      </w:tcPr>
    </w:tblStylePr>
    <w:tblStylePr w:type="firstCol">
      <w:rPr>
        <w:b/>
        <w:bCs/>
      </w:rPr>
    </w:tblStylePr>
    <w:tblStylePr w:type="lastCol">
      <w:rPr>
        <w:b/>
        <w:bCs/>
      </w:rPr>
    </w:tblStylePr>
    <w:tblStylePr w:type="band1Vert">
      <w:tblPr/>
      <w:tcPr>
        <w:shd w:val="clear" w:color="auto" w:fill="85A7DD"/>
      </w:tcPr>
    </w:tblStylePr>
    <w:tblStylePr w:type="band1Horz">
      <w:tblPr/>
      <w:tcPr>
        <w:shd w:val="clear" w:color="auto" w:fill="85A7DD"/>
      </w:tcPr>
    </w:tblStylePr>
  </w:style>
  <w:style w:type="table" w:styleId="redniasiatka1akcent6">
    <w:name w:val="Medium Grid 1 Accent 6"/>
    <w:basedOn w:val="Standardowy"/>
    <w:uiPriority w:val="67"/>
    <w:semiHidden/>
    <w:unhideWhenUsed/>
    <w:rsid w:val="00C70628"/>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styleId="redniasiatka2">
    <w:name w:val="Medium Grid 2"/>
    <w:basedOn w:val="Standardowy"/>
    <w:uiPriority w:val="68"/>
    <w:semiHidden/>
    <w:unhideWhenUsed/>
    <w:rsid w:val="00C70628"/>
    <w:rPr>
      <w:rFonts w:ascii="Segoe UI Light" w:eastAsia="MS Gothic" w:hAnsi="Segoe UI Light" w:cs="Segoe UI Light"/>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redniasiatka2akcent1">
    <w:name w:val="Medium Grid 2 Accent 1"/>
    <w:basedOn w:val="Standardowy"/>
    <w:uiPriority w:val="68"/>
    <w:semiHidden/>
    <w:unhideWhenUsed/>
    <w:rsid w:val="00C70628"/>
    <w:rPr>
      <w:rFonts w:ascii="Segoe UI Light" w:eastAsia="MS Gothic" w:hAnsi="Segoe UI Light" w:cs="Segoe UI Light"/>
      <w:color w:val="00000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styleId="redniasiatka2akcent2">
    <w:name w:val="Medium Grid 2 Accent 2"/>
    <w:basedOn w:val="Standardowy"/>
    <w:uiPriority w:val="68"/>
    <w:semiHidden/>
    <w:unhideWhenUsed/>
    <w:rsid w:val="00C70628"/>
    <w:rPr>
      <w:rFonts w:ascii="Segoe UI Light" w:eastAsia="MS Gothic" w:hAnsi="Segoe UI Light" w:cs="Segoe UI Light"/>
      <w:color w:val="000000"/>
    </w:rPr>
    <w:tblPr>
      <w:tblStyleRowBandSize w:val="1"/>
      <w:tblStyleColBandSize w:val="1"/>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Pr>
    <w:tcPr>
      <w:shd w:val="clear" w:color="auto" w:fill="FFC0C0"/>
    </w:tcPr>
    <w:tblStylePr w:type="firstRow">
      <w:rPr>
        <w:b/>
        <w:bCs/>
        <w:color w:val="000000"/>
      </w:rPr>
      <w:tblPr/>
      <w:tcPr>
        <w:shd w:val="clear" w:color="auto" w:fill="FF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FCCCC"/>
      </w:tcPr>
    </w:tblStylePr>
    <w:tblStylePr w:type="band1Vert">
      <w:tblPr/>
      <w:tcPr>
        <w:shd w:val="clear" w:color="auto" w:fill="FF8080"/>
      </w:tcPr>
    </w:tblStylePr>
    <w:tblStylePr w:type="band1Horz">
      <w:tblPr/>
      <w:tcPr>
        <w:tcBorders>
          <w:insideH w:val="single" w:sz="6" w:space="0" w:color="FF0000"/>
          <w:insideV w:val="single" w:sz="6" w:space="0" w:color="FF0000"/>
        </w:tcBorders>
        <w:shd w:val="clear" w:color="auto" w:fill="FF8080"/>
      </w:tcPr>
    </w:tblStylePr>
    <w:tblStylePr w:type="nwCell">
      <w:tblPr/>
      <w:tcPr>
        <w:shd w:val="clear" w:color="auto" w:fill="FFFFFF"/>
      </w:tcPr>
    </w:tblStylePr>
  </w:style>
  <w:style w:type="table" w:styleId="redniasiatka2akcent3">
    <w:name w:val="Medium Grid 2 Accent 3"/>
    <w:basedOn w:val="Standardowy"/>
    <w:uiPriority w:val="68"/>
    <w:semiHidden/>
    <w:unhideWhenUsed/>
    <w:rsid w:val="00C70628"/>
    <w:rPr>
      <w:rFonts w:ascii="Segoe UI Light" w:eastAsia="MS Gothic" w:hAnsi="Segoe UI Light" w:cs="Segoe UI Light"/>
      <w:color w:val="00000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table" w:styleId="redniasiatka2akcent4">
    <w:name w:val="Medium Grid 2 Accent 4"/>
    <w:basedOn w:val="Standardowy"/>
    <w:uiPriority w:val="68"/>
    <w:semiHidden/>
    <w:unhideWhenUsed/>
    <w:rsid w:val="00C70628"/>
    <w:rPr>
      <w:rFonts w:ascii="Segoe UI Light" w:eastAsia="MS Gothic" w:hAnsi="Segoe UI Light" w:cs="Segoe UI Light"/>
      <w:color w:val="000000"/>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cPr>
      <w:shd w:val="clear" w:color="auto" w:fill="FFEFC0"/>
    </w:tcPr>
    <w:tblStylePr w:type="firstRow">
      <w:rPr>
        <w:b/>
        <w:bCs/>
        <w:color w:val="000000"/>
      </w:rPr>
      <w:tblPr/>
      <w:tcPr>
        <w:shd w:val="clear" w:color="auto" w:fill="FFF8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FF2CC"/>
      </w:tcPr>
    </w:tblStylePr>
    <w:tblStylePr w:type="band1Vert">
      <w:tblPr/>
      <w:tcPr>
        <w:shd w:val="clear" w:color="auto" w:fill="FFDF80"/>
      </w:tcPr>
    </w:tblStylePr>
    <w:tblStylePr w:type="band1Horz">
      <w:tblPr/>
      <w:tcPr>
        <w:tcBorders>
          <w:insideH w:val="single" w:sz="6" w:space="0" w:color="FFC000"/>
          <w:insideV w:val="single" w:sz="6" w:space="0" w:color="FFC000"/>
        </w:tcBorders>
        <w:shd w:val="clear" w:color="auto" w:fill="FFDF80"/>
      </w:tcPr>
    </w:tblStylePr>
    <w:tblStylePr w:type="nwCell">
      <w:tblPr/>
      <w:tcPr>
        <w:shd w:val="clear" w:color="auto" w:fill="FFFFFF"/>
      </w:tcPr>
    </w:tblStylePr>
  </w:style>
  <w:style w:type="table" w:styleId="redniasiatka2akcent5">
    <w:name w:val="Medium Grid 2 Accent 5"/>
    <w:basedOn w:val="Standardowy"/>
    <w:uiPriority w:val="68"/>
    <w:semiHidden/>
    <w:unhideWhenUsed/>
    <w:rsid w:val="00C70628"/>
    <w:rPr>
      <w:rFonts w:ascii="Segoe UI Light" w:eastAsia="MS Gothic" w:hAnsi="Segoe UI Light" w:cs="Segoe UI Light"/>
      <w:color w:val="000000"/>
    </w:rPr>
    <w:tblPr>
      <w:tblStyleRowBandSize w:val="1"/>
      <w:tblStyleColBandSize w:val="1"/>
      <w:tblBorders>
        <w:top w:val="single" w:sz="8" w:space="0" w:color="2B579A"/>
        <w:left w:val="single" w:sz="8" w:space="0" w:color="2B579A"/>
        <w:bottom w:val="single" w:sz="8" w:space="0" w:color="2B579A"/>
        <w:right w:val="single" w:sz="8" w:space="0" w:color="2B579A"/>
        <w:insideH w:val="single" w:sz="8" w:space="0" w:color="2B579A"/>
        <w:insideV w:val="single" w:sz="8" w:space="0" w:color="2B579A"/>
      </w:tblBorders>
    </w:tblPr>
    <w:tcPr>
      <w:shd w:val="clear" w:color="auto" w:fill="C2D3EE"/>
    </w:tcPr>
    <w:tblStylePr w:type="firstRow">
      <w:rPr>
        <w:b/>
        <w:bCs/>
        <w:color w:val="000000"/>
      </w:rPr>
      <w:tblPr/>
      <w:tcPr>
        <w:shd w:val="clear" w:color="auto" w:fill="E6ED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EDBF1"/>
      </w:tcPr>
    </w:tblStylePr>
    <w:tblStylePr w:type="band1Vert">
      <w:tblPr/>
      <w:tcPr>
        <w:shd w:val="clear" w:color="auto" w:fill="85A7DD"/>
      </w:tcPr>
    </w:tblStylePr>
    <w:tblStylePr w:type="band1Horz">
      <w:tblPr/>
      <w:tcPr>
        <w:tcBorders>
          <w:insideH w:val="single" w:sz="6" w:space="0" w:color="2B579A"/>
          <w:insideV w:val="single" w:sz="6" w:space="0" w:color="2B579A"/>
        </w:tcBorders>
        <w:shd w:val="clear" w:color="auto" w:fill="85A7DD"/>
      </w:tcPr>
    </w:tblStylePr>
    <w:tblStylePr w:type="nwCell">
      <w:tblPr/>
      <w:tcPr>
        <w:shd w:val="clear" w:color="auto" w:fill="FFFFFF"/>
      </w:tcPr>
    </w:tblStylePr>
  </w:style>
  <w:style w:type="table" w:styleId="redniasiatka2akcent6">
    <w:name w:val="Medium Grid 2 Accent 6"/>
    <w:basedOn w:val="Standardowy"/>
    <w:uiPriority w:val="68"/>
    <w:semiHidden/>
    <w:unhideWhenUsed/>
    <w:rsid w:val="00C70628"/>
    <w:rPr>
      <w:rFonts w:ascii="Segoe UI Light" w:eastAsia="MS Gothic" w:hAnsi="Segoe UI Light" w:cs="Segoe UI Light"/>
      <w:color w:val="000000"/>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cPr>
      <w:shd w:val="clear" w:color="auto" w:fill="DBEBD0"/>
    </w:tcPr>
    <w:tblStylePr w:type="firstRow">
      <w:rPr>
        <w:b/>
        <w:bCs/>
        <w:color w:val="000000"/>
      </w:rPr>
      <w:tblPr/>
      <w:tcPr>
        <w:shd w:val="clear" w:color="auto" w:fill="F0F7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2EFD9"/>
      </w:tcPr>
    </w:tblStylePr>
    <w:tblStylePr w:type="band1Vert">
      <w:tblPr/>
      <w:tcPr>
        <w:shd w:val="clear" w:color="auto" w:fill="B7D8A0"/>
      </w:tcPr>
    </w:tblStylePr>
    <w:tblStylePr w:type="band1Horz">
      <w:tblPr/>
      <w:tcPr>
        <w:tcBorders>
          <w:insideH w:val="single" w:sz="6" w:space="0" w:color="70AD47"/>
          <w:insideV w:val="single" w:sz="6" w:space="0" w:color="70AD47"/>
        </w:tcBorders>
        <w:shd w:val="clear" w:color="auto" w:fill="B7D8A0"/>
      </w:tcPr>
    </w:tblStylePr>
    <w:tblStylePr w:type="nwCell">
      <w:tblPr/>
      <w:tcPr>
        <w:shd w:val="clear" w:color="auto" w:fill="FFFFFF"/>
      </w:tcPr>
    </w:tblStylePr>
  </w:style>
  <w:style w:type="table" w:styleId="redniasiatka3">
    <w:name w:val="Medium Grid 3"/>
    <w:basedOn w:val="Standardowy"/>
    <w:uiPriority w:val="69"/>
    <w:semiHidden/>
    <w:unhideWhenUsed/>
    <w:rsid w:val="00C706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redniasiatka3akcent1">
    <w:name w:val="Medium Grid 3 Accent 1"/>
    <w:basedOn w:val="Standardowy"/>
    <w:uiPriority w:val="69"/>
    <w:semiHidden/>
    <w:unhideWhenUsed/>
    <w:rsid w:val="00C706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styleId="redniasiatka3akcent2">
    <w:name w:val="Medium Grid 3 Accent 2"/>
    <w:basedOn w:val="Standardowy"/>
    <w:uiPriority w:val="69"/>
    <w:semiHidden/>
    <w:unhideWhenUsed/>
    <w:rsid w:val="00C706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8080"/>
      </w:tcPr>
    </w:tblStylePr>
  </w:style>
  <w:style w:type="table" w:styleId="redniasiatka3akcent3">
    <w:name w:val="Medium Grid 3 Accent 3"/>
    <w:basedOn w:val="Standardowy"/>
    <w:uiPriority w:val="69"/>
    <w:semiHidden/>
    <w:unhideWhenUsed/>
    <w:rsid w:val="00C706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styleId="redniasiatka3akcent4">
    <w:name w:val="Medium Grid 3 Accent 4"/>
    <w:basedOn w:val="Standardowy"/>
    <w:uiPriority w:val="69"/>
    <w:semiHidden/>
    <w:unhideWhenUsed/>
    <w:rsid w:val="00C706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table" w:styleId="redniasiatka3akcent5">
    <w:name w:val="Medium Grid 3 Accent 5"/>
    <w:basedOn w:val="Standardowy"/>
    <w:uiPriority w:val="69"/>
    <w:semiHidden/>
    <w:unhideWhenUsed/>
    <w:rsid w:val="00C706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2D3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2B579A"/>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2B579A"/>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2B579A"/>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2B579A"/>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5A7D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5A7DD"/>
      </w:tcPr>
    </w:tblStylePr>
  </w:style>
  <w:style w:type="table" w:styleId="redniasiatka3akcent6">
    <w:name w:val="Medium Grid 3 Accent 6"/>
    <w:basedOn w:val="Standardowy"/>
    <w:uiPriority w:val="69"/>
    <w:semiHidden/>
    <w:unhideWhenUsed/>
    <w:rsid w:val="00C706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rednialista1">
    <w:name w:val="Medium List 1"/>
    <w:basedOn w:val="Standardowy"/>
    <w:uiPriority w:val="65"/>
    <w:semiHidden/>
    <w:unhideWhenUsed/>
    <w:rsid w:val="00C70628"/>
    <w:rPr>
      <w:color w:val="000000"/>
    </w:rPr>
    <w:tblPr>
      <w:tblStyleRowBandSize w:val="1"/>
      <w:tblStyleColBandSize w:val="1"/>
      <w:tblBorders>
        <w:top w:val="single" w:sz="8" w:space="0" w:color="000000"/>
        <w:bottom w:val="single" w:sz="8" w:space="0" w:color="000000"/>
      </w:tblBorders>
    </w:tblPr>
    <w:tblStylePr w:type="firstRow">
      <w:rPr>
        <w:rFonts w:ascii="Segoe UI Light" w:eastAsia="MS Gothic" w:hAnsi="Segoe UI Light" w:cs="Times New Roman"/>
      </w:rPr>
      <w:tblPr/>
      <w:tcPr>
        <w:tcBorders>
          <w:top w:val="nil"/>
          <w:bottom w:val="single" w:sz="8" w:space="0" w:color="000000"/>
        </w:tcBorders>
      </w:tcPr>
    </w:tblStylePr>
    <w:tblStylePr w:type="lastRow">
      <w:rPr>
        <w:b/>
        <w:bCs/>
        <w:color w:val="44546A"/>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65"/>
    <w:semiHidden/>
    <w:unhideWhenUsed/>
    <w:rsid w:val="00C70628"/>
    <w:rPr>
      <w:color w:val="000000"/>
    </w:rPr>
    <w:tblPr>
      <w:tblStyleRowBandSize w:val="1"/>
      <w:tblStyleColBandSize w:val="1"/>
      <w:tblBorders>
        <w:top w:val="single" w:sz="8" w:space="0" w:color="5B9BD5"/>
        <w:bottom w:val="single" w:sz="8" w:space="0" w:color="5B9BD5"/>
      </w:tblBorders>
    </w:tblPr>
    <w:tblStylePr w:type="firstRow">
      <w:rPr>
        <w:rFonts w:ascii="Segoe UI Light" w:eastAsia="MS Gothic" w:hAnsi="Segoe UI Light" w:cs="Times New Roman"/>
      </w:rPr>
      <w:tblPr/>
      <w:tcPr>
        <w:tcBorders>
          <w:top w:val="nil"/>
          <w:bottom w:val="single" w:sz="8" w:space="0" w:color="5B9BD5"/>
        </w:tcBorders>
      </w:tcPr>
    </w:tblStylePr>
    <w:tblStylePr w:type="lastRow">
      <w:rPr>
        <w:b/>
        <w:bCs/>
        <w:color w:val="44546A"/>
      </w:rPr>
      <w:tblPr/>
      <w:tcPr>
        <w:tcBorders>
          <w:top w:val="single" w:sz="8" w:space="0" w:color="5B9BD5"/>
          <w:bottom w:val="single" w:sz="8" w:space="0" w:color="5B9BD5"/>
        </w:tcBorders>
      </w:tcPr>
    </w:tblStylePr>
    <w:tblStylePr w:type="firstCol">
      <w:rPr>
        <w:b/>
        <w:bCs/>
      </w:rPr>
    </w:tblStylePr>
    <w:tblStylePr w:type="lastCol">
      <w:rPr>
        <w:b/>
        <w:bCs/>
      </w:rPr>
      <w:tblPr/>
      <w:tcPr>
        <w:tcBorders>
          <w:top w:val="single" w:sz="8" w:space="0" w:color="5B9BD5"/>
          <w:bottom w:val="single" w:sz="8" w:space="0" w:color="5B9BD5"/>
        </w:tcBorders>
      </w:tcPr>
    </w:tblStylePr>
    <w:tblStylePr w:type="band1Vert">
      <w:tblPr/>
      <w:tcPr>
        <w:shd w:val="clear" w:color="auto" w:fill="D6E6F4"/>
      </w:tcPr>
    </w:tblStylePr>
    <w:tblStylePr w:type="band1Horz">
      <w:tblPr/>
      <w:tcPr>
        <w:shd w:val="clear" w:color="auto" w:fill="D6E6F4"/>
      </w:tcPr>
    </w:tblStylePr>
  </w:style>
  <w:style w:type="table" w:styleId="rednialista1akcent2">
    <w:name w:val="Medium List 1 Accent 2"/>
    <w:basedOn w:val="Standardowy"/>
    <w:uiPriority w:val="65"/>
    <w:semiHidden/>
    <w:unhideWhenUsed/>
    <w:rsid w:val="00C70628"/>
    <w:rPr>
      <w:color w:val="000000"/>
    </w:rPr>
    <w:tblPr>
      <w:tblStyleRowBandSize w:val="1"/>
      <w:tblStyleColBandSize w:val="1"/>
      <w:tblBorders>
        <w:top w:val="single" w:sz="8" w:space="0" w:color="FF0000"/>
        <w:bottom w:val="single" w:sz="8" w:space="0" w:color="FF0000"/>
      </w:tblBorders>
    </w:tblPr>
    <w:tblStylePr w:type="firstRow">
      <w:rPr>
        <w:rFonts w:ascii="Segoe UI Light" w:eastAsia="MS Gothic" w:hAnsi="Segoe UI Light" w:cs="Times New Roman"/>
      </w:rPr>
      <w:tblPr/>
      <w:tcPr>
        <w:tcBorders>
          <w:top w:val="nil"/>
          <w:bottom w:val="single" w:sz="8" w:space="0" w:color="FF0000"/>
        </w:tcBorders>
      </w:tcPr>
    </w:tblStylePr>
    <w:tblStylePr w:type="lastRow">
      <w:rPr>
        <w:b/>
        <w:bCs/>
        <w:color w:val="44546A"/>
      </w:rPr>
      <w:tblPr/>
      <w:tcPr>
        <w:tcBorders>
          <w:top w:val="single" w:sz="8" w:space="0" w:color="FF0000"/>
          <w:bottom w:val="single" w:sz="8" w:space="0" w:color="FF0000"/>
        </w:tcBorders>
      </w:tcPr>
    </w:tblStylePr>
    <w:tblStylePr w:type="firstCol">
      <w:rPr>
        <w:b/>
        <w:bCs/>
      </w:rPr>
    </w:tblStylePr>
    <w:tblStylePr w:type="lastCol">
      <w:rPr>
        <w:b/>
        <w:bCs/>
      </w:rPr>
      <w:tblPr/>
      <w:tcPr>
        <w:tcBorders>
          <w:top w:val="single" w:sz="8" w:space="0" w:color="FF0000"/>
          <w:bottom w:val="single" w:sz="8" w:space="0" w:color="FF0000"/>
        </w:tcBorders>
      </w:tcPr>
    </w:tblStylePr>
    <w:tblStylePr w:type="band1Vert">
      <w:tblPr/>
      <w:tcPr>
        <w:shd w:val="clear" w:color="auto" w:fill="FFC0C0"/>
      </w:tcPr>
    </w:tblStylePr>
    <w:tblStylePr w:type="band1Horz">
      <w:tblPr/>
      <w:tcPr>
        <w:shd w:val="clear" w:color="auto" w:fill="FFC0C0"/>
      </w:tcPr>
    </w:tblStylePr>
  </w:style>
  <w:style w:type="table" w:styleId="rednialista1akcent3">
    <w:name w:val="Medium List 1 Accent 3"/>
    <w:basedOn w:val="Standardowy"/>
    <w:uiPriority w:val="65"/>
    <w:semiHidden/>
    <w:unhideWhenUsed/>
    <w:rsid w:val="00C70628"/>
    <w:rPr>
      <w:color w:val="000000"/>
    </w:rPr>
    <w:tblPr>
      <w:tblStyleRowBandSize w:val="1"/>
      <w:tblStyleColBandSize w:val="1"/>
      <w:tblBorders>
        <w:top w:val="single" w:sz="8" w:space="0" w:color="A5A5A5"/>
        <w:bottom w:val="single" w:sz="8" w:space="0" w:color="A5A5A5"/>
      </w:tblBorders>
    </w:tblPr>
    <w:tblStylePr w:type="firstRow">
      <w:rPr>
        <w:rFonts w:ascii="Segoe UI Light" w:eastAsia="MS Gothic" w:hAnsi="Segoe UI Light" w:cs="Times New Roman"/>
      </w:rPr>
      <w:tblPr/>
      <w:tcPr>
        <w:tcBorders>
          <w:top w:val="nil"/>
          <w:bottom w:val="single" w:sz="8" w:space="0" w:color="A5A5A5"/>
        </w:tcBorders>
      </w:tcPr>
    </w:tblStylePr>
    <w:tblStylePr w:type="lastRow">
      <w:rPr>
        <w:b/>
        <w:bCs/>
        <w:color w:val="44546A"/>
      </w:rPr>
      <w:tblPr/>
      <w:tcPr>
        <w:tcBorders>
          <w:top w:val="single" w:sz="8" w:space="0" w:color="A5A5A5"/>
          <w:bottom w:val="single" w:sz="8" w:space="0" w:color="A5A5A5"/>
        </w:tcBorders>
      </w:tcPr>
    </w:tblStylePr>
    <w:tblStylePr w:type="firstCol">
      <w:rPr>
        <w:b/>
        <w:bCs/>
      </w:rPr>
    </w:tblStylePr>
    <w:tblStylePr w:type="lastCol">
      <w:rPr>
        <w:b/>
        <w:bCs/>
      </w:rPr>
      <w:tblPr/>
      <w:tcPr>
        <w:tcBorders>
          <w:top w:val="single" w:sz="8" w:space="0" w:color="A5A5A5"/>
          <w:bottom w:val="single" w:sz="8" w:space="0" w:color="A5A5A5"/>
        </w:tcBorders>
      </w:tcPr>
    </w:tblStylePr>
    <w:tblStylePr w:type="band1Vert">
      <w:tblPr/>
      <w:tcPr>
        <w:shd w:val="clear" w:color="auto" w:fill="E8E8E8"/>
      </w:tcPr>
    </w:tblStylePr>
    <w:tblStylePr w:type="band1Horz">
      <w:tblPr/>
      <w:tcPr>
        <w:shd w:val="clear" w:color="auto" w:fill="E8E8E8"/>
      </w:tcPr>
    </w:tblStylePr>
  </w:style>
  <w:style w:type="table" w:styleId="rednialista1akcent4">
    <w:name w:val="Medium List 1 Accent 4"/>
    <w:basedOn w:val="Standardowy"/>
    <w:uiPriority w:val="65"/>
    <w:semiHidden/>
    <w:unhideWhenUsed/>
    <w:rsid w:val="00C70628"/>
    <w:rPr>
      <w:color w:val="000000"/>
    </w:rPr>
    <w:tblPr>
      <w:tblStyleRowBandSize w:val="1"/>
      <w:tblStyleColBandSize w:val="1"/>
      <w:tblBorders>
        <w:top w:val="single" w:sz="8" w:space="0" w:color="FFC000"/>
        <w:bottom w:val="single" w:sz="8" w:space="0" w:color="FFC000"/>
      </w:tblBorders>
    </w:tblPr>
    <w:tblStylePr w:type="firstRow">
      <w:rPr>
        <w:rFonts w:ascii="Segoe UI Light" w:eastAsia="MS Gothic" w:hAnsi="Segoe UI Light" w:cs="Times New Roman"/>
      </w:rPr>
      <w:tblPr/>
      <w:tcPr>
        <w:tcBorders>
          <w:top w:val="nil"/>
          <w:bottom w:val="single" w:sz="8" w:space="0" w:color="FFC000"/>
        </w:tcBorders>
      </w:tcPr>
    </w:tblStylePr>
    <w:tblStylePr w:type="lastRow">
      <w:rPr>
        <w:b/>
        <w:bCs/>
        <w:color w:val="44546A"/>
      </w:rPr>
      <w:tblPr/>
      <w:tcPr>
        <w:tcBorders>
          <w:top w:val="single" w:sz="8" w:space="0" w:color="FFC000"/>
          <w:bottom w:val="single" w:sz="8" w:space="0" w:color="FFC000"/>
        </w:tcBorders>
      </w:tcPr>
    </w:tblStylePr>
    <w:tblStylePr w:type="firstCol">
      <w:rPr>
        <w:b/>
        <w:bCs/>
      </w:rPr>
    </w:tblStylePr>
    <w:tblStylePr w:type="lastCol">
      <w:rPr>
        <w:b/>
        <w:bCs/>
      </w:rPr>
      <w:tblPr/>
      <w:tcPr>
        <w:tcBorders>
          <w:top w:val="single" w:sz="8" w:space="0" w:color="FFC000"/>
          <w:bottom w:val="single" w:sz="8" w:space="0" w:color="FFC000"/>
        </w:tcBorders>
      </w:tcPr>
    </w:tblStylePr>
    <w:tblStylePr w:type="band1Vert">
      <w:tblPr/>
      <w:tcPr>
        <w:shd w:val="clear" w:color="auto" w:fill="FFEFC0"/>
      </w:tcPr>
    </w:tblStylePr>
    <w:tblStylePr w:type="band1Horz">
      <w:tblPr/>
      <w:tcPr>
        <w:shd w:val="clear" w:color="auto" w:fill="FFEFC0"/>
      </w:tcPr>
    </w:tblStylePr>
  </w:style>
  <w:style w:type="table" w:styleId="rednialista1akcent5">
    <w:name w:val="Medium List 1 Accent 5"/>
    <w:basedOn w:val="Standardowy"/>
    <w:uiPriority w:val="65"/>
    <w:semiHidden/>
    <w:unhideWhenUsed/>
    <w:rsid w:val="00C70628"/>
    <w:rPr>
      <w:color w:val="000000"/>
    </w:rPr>
    <w:tblPr>
      <w:tblStyleRowBandSize w:val="1"/>
      <w:tblStyleColBandSize w:val="1"/>
      <w:tblBorders>
        <w:top w:val="single" w:sz="8" w:space="0" w:color="2B579A"/>
        <w:bottom w:val="single" w:sz="8" w:space="0" w:color="2B579A"/>
      </w:tblBorders>
    </w:tblPr>
    <w:tblStylePr w:type="firstRow">
      <w:rPr>
        <w:rFonts w:ascii="Segoe UI Light" w:eastAsia="MS Gothic" w:hAnsi="Segoe UI Light" w:cs="Times New Roman"/>
      </w:rPr>
      <w:tblPr/>
      <w:tcPr>
        <w:tcBorders>
          <w:top w:val="nil"/>
          <w:bottom w:val="single" w:sz="8" w:space="0" w:color="2B579A"/>
        </w:tcBorders>
      </w:tcPr>
    </w:tblStylePr>
    <w:tblStylePr w:type="lastRow">
      <w:rPr>
        <w:b/>
        <w:bCs/>
        <w:color w:val="44546A"/>
      </w:rPr>
      <w:tblPr/>
      <w:tcPr>
        <w:tcBorders>
          <w:top w:val="single" w:sz="8" w:space="0" w:color="2B579A"/>
          <w:bottom w:val="single" w:sz="8" w:space="0" w:color="2B579A"/>
        </w:tcBorders>
      </w:tcPr>
    </w:tblStylePr>
    <w:tblStylePr w:type="firstCol">
      <w:rPr>
        <w:b/>
        <w:bCs/>
      </w:rPr>
    </w:tblStylePr>
    <w:tblStylePr w:type="lastCol">
      <w:rPr>
        <w:b/>
        <w:bCs/>
      </w:rPr>
      <w:tblPr/>
      <w:tcPr>
        <w:tcBorders>
          <w:top w:val="single" w:sz="8" w:space="0" w:color="2B579A"/>
          <w:bottom w:val="single" w:sz="8" w:space="0" w:color="2B579A"/>
        </w:tcBorders>
      </w:tcPr>
    </w:tblStylePr>
    <w:tblStylePr w:type="band1Vert">
      <w:tblPr/>
      <w:tcPr>
        <w:shd w:val="clear" w:color="auto" w:fill="C2D3EE"/>
      </w:tcPr>
    </w:tblStylePr>
    <w:tblStylePr w:type="band1Horz">
      <w:tblPr/>
      <w:tcPr>
        <w:shd w:val="clear" w:color="auto" w:fill="C2D3EE"/>
      </w:tcPr>
    </w:tblStylePr>
  </w:style>
  <w:style w:type="table" w:styleId="rednialista1akcent6">
    <w:name w:val="Medium List 1 Accent 6"/>
    <w:basedOn w:val="Standardowy"/>
    <w:uiPriority w:val="65"/>
    <w:semiHidden/>
    <w:unhideWhenUsed/>
    <w:rsid w:val="00C70628"/>
    <w:rPr>
      <w:color w:val="000000"/>
    </w:rPr>
    <w:tblPr>
      <w:tblStyleRowBandSize w:val="1"/>
      <w:tblStyleColBandSize w:val="1"/>
      <w:tblBorders>
        <w:top w:val="single" w:sz="8" w:space="0" w:color="70AD47"/>
        <w:bottom w:val="single" w:sz="8" w:space="0" w:color="70AD47"/>
      </w:tblBorders>
    </w:tblPr>
    <w:tblStylePr w:type="firstRow">
      <w:rPr>
        <w:rFonts w:ascii="Segoe UI Light" w:eastAsia="MS Gothic" w:hAnsi="Segoe UI Light" w:cs="Times New Roman"/>
      </w:rPr>
      <w:tblPr/>
      <w:tcPr>
        <w:tcBorders>
          <w:top w:val="nil"/>
          <w:bottom w:val="single" w:sz="8" w:space="0" w:color="70AD47"/>
        </w:tcBorders>
      </w:tcPr>
    </w:tblStylePr>
    <w:tblStylePr w:type="lastRow">
      <w:rPr>
        <w:b/>
        <w:bCs/>
        <w:color w:val="44546A"/>
      </w:rPr>
      <w:tblPr/>
      <w:tcPr>
        <w:tcBorders>
          <w:top w:val="single" w:sz="8" w:space="0" w:color="70AD47"/>
          <w:bottom w:val="single" w:sz="8" w:space="0" w:color="70AD47"/>
        </w:tcBorders>
      </w:tcPr>
    </w:tblStylePr>
    <w:tblStylePr w:type="firstCol">
      <w:rPr>
        <w:b/>
        <w:bCs/>
      </w:rPr>
    </w:tblStylePr>
    <w:tblStylePr w:type="lastCol">
      <w:rPr>
        <w:b/>
        <w:bCs/>
      </w:rPr>
      <w:tblPr/>
      <w:tcPr>
        <w:tcBorders>
          <w:top w:val="single" w:sz="8" w:space="0" w:color="70AD47"/>
          <w:bottom w:val="single" w:sz="8" w:space="0" w:color="70AD47"/>
        </w:tcBorders>
      </w:tcPr>
    </w:tblStylePr>
    <w:tblStylePr w:type="band1Vert">
      <w:tblPr/>
      <w:tcPr>
        <w:shd w:val="clear" w:color="auto" w:fill="DBEBD0"/>
      </w:tcPr>
    </w:tblStylePr>
    <w:tblStylePr w:type="band1Horz">
      <w:tblPr/>
      <w:tcPr>
        <w:shd w:val="clear" w:color="auto" w:fill="DBEBD0"/>
      </w:tcPr>
    </w:tblStylePr>
  </w:style>
  <w:style w:type="table" w:styleId="rednialista2">
    <w:name w:val="Medium List 2"/>
    <w:basedOn w:val="Standardowy"/>
    <w:uiPriority w:val="66"/>
    <w:semiHidden/>
    <w:unhideWhenUsed/>
    <w:rsid w:val="00C70628"/>
    <w:rPr>
      <w:rFonts w:ascii="Segoe UI Light" w:eastAsia="MS Gothic" w:hAnsi="Segoe UI Light" w:cs="Segoe UI Light"/>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rednialista2akcent1">
    <w:name w:val="Medium List 2 Accent 1"/>
    <w:basedOn w:val="Standardowy"/>
    <w:uiPriority w:val="66"/>
    <w:semiHidden/>
    <w:unhideWhenUsed/>
    <w:rsid w:val="00C70628"/>
    <w:rPr>
      <w:rFonts w:ascii="Segoe UI Light" w:eastAsia="MS Gothic" w:hAnsi="Segoe UI Light" w:cs="Segoe UI Light"/>
      <w:color w:val="00000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styleId="rednialista2akcent2">
    <w:name w:val="Medium List 2 Accent 2"/>
    <w:basedOn w:val="Standardowy"/>
    <w:uiPriority w:val="66"/>
    <w:semiHidden/>
    <w:unhideWhenUsed/>
    <w:rsid w:val="00C70628"/>
    <w:rPr>
      <w:rFonts w:ascii="Segoe UI Light" w:eastAsia="MS Gothic" w:hAnsi="Segoe UI Light" w:cs="Segoe UI Light"/>
      <w:color w:val="000000"/>
    </w:rPr>
    <w:tblPr>
      <w:tblStyleRowBandSize w:val="1"/>
      <w:tblStyleColBandSize w:val="1"/>
      <w:tblBorders>
        <w:top w:val="single" w:sz="8" w:space="0" w:color="FF0000"/>
        <w:left w:val="single" w:sz="8" w:space="0" w:color="FF0000"/>
        <w:bottom w:val="single" w:sz="8" w:space="0" w:color="FF0000"/>
        <w:right w:val="single" w:sz="8" w:space="0" w:color="FF0000"/>
      </w:tblBorders>
    </w:tblPr>
    <w:tblStylePr w:type="firstRow">
      <w:rPr>
        <w:sz w:val="24"/>
        <w:szCs w:val="24"/>
      </w:rPr>
      <w:tblPr/>
      <w:tcPr>
        <w:tcBorders>
          <w:top w:val="nil"/>
          <w:left w:val="nil"/>
          <w:bottom w:val="single" w:sz="24" w:space="0" w:color="FF000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FF0000"/>
          <w:insideH w:val="nil"/>
          <w:insideV w:val="nil"/>
        </w:tcBorders>
        <w:shd w:val="clear" w:color="auto" w:fill="FFFFFF"/>
      </w:tcPr>
    </w:tblStylePr>
    <w:tblStylePr w:type="lastCol">
      <w:tblPr/>
      <w:tcPr>
        <w:tcBorders>
          <w:top w:val="nil"/>
          <w:left w:val="single" w:sz="8" w:space="0" w:color="FF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C0C0"/>
      </w:tcPr>
    </w:tblStylePr>
    <w:tblStylePr w:type="band1Horz">
      <w:tblPr/>
      <w:tcPr>
        <w:tcBorders>
          <w:top w:val="nil"/>
          <w:bottom w:val="nil"/>
          <w:insideH w:val="nil"/>
          <w:insideV w:val="nil"/>
        </w:tcBorders>
        <w:shd w:val="clear" w:color="auto" w:fill="FFC0C0"/>
      </w:tcPr>
    </w:tblStylePr>
    <w:tblStylePr w:type="nwCell">
      <w:tblPr/>
      <w:tcPr>
        <w:shd w:val="clear" w:color="auto" w:fill="FFFFFF"/>
      </w:tcPr>
    </w:tblStylePr>
    <w:tblStylePr w:type="swCell">
      <w:tblPr/>
      <w:tcPr>
        <w:tcBorders>
          <w:top w:val="nil"/>
        </w:tcBorders>
      </w:tcPr>
    </w:tblStylePr>
  </w:style>
  <w:style w:type="table" w:styleId="rednialista2akcent3">
    <w:name w:val="Medium List 2 Accent 3"/>
    <w:basedOn w:val="Standardowy"/>
    <w:uiPriority w:val="66"/>
    <w:semiHidden/>
    <w:unhideWhenUsed/>
    <w:rsid w:val="00C70628"/>
    <w:rPr>
      <w:rFonts w:ascii="Segoe UI Light" w:eastAsia="MS Gothic" w:hAnsi="Segoe UI Light" w:cs="Segoe UI Light"/>
      <w:color w:val="00000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rPr>
        <w:sz w:val="24"/>
        <w:szCs w:val="24"/>
      </w:rPr>
      <w:tblPr/>
      <w:tcPr>
        <w:tcBorders>
          <w:top w:val="nil"/>
          <w:left w:val="nil"/>
          <w:bottom w:val="single" w:sz="24" w:space="0" w:color="A5A5A5"/>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A5A5A5"/>
          <w:insideH w:val="nil"/>
          <w:insideV w:val="nil"/>
        </w:tcBorders>
        <w:shd w:val="clear" w:color="auto" w:fill="FFFFFF"/>
      </w:tcPr>
    </w:tblStylePr>
    <w:tblStylePr w:type="lastCol">
      <w:tblPr/>
      <w:tcPr>
        <w:tcBorders>
          <w:top w:val="nil"/>
          <w:left w:val="single" w:sz="8" w:space="0" w:color="A5A5A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8E8E8"/>
      </w:tcPr>
    </w:tblStylePr>
    <w:tblStylePr w:type="band1Horz">
      <w:tblPr/>
      <w:tcPr>
        <w:tcBorders>
          <w:top w:val="nil"/>
          <w:bottom w:val="nil"/>
          <w:insideH w:val="nil"/>
          <w:insideV w:val="nil"/>
        </w:tcBorders>
        <w:shd w:val="clear" w:color="auto" w:fill="E8E8E8"/>
      </w:tcPr>
    </w:tblStylePr>
    <w:tblStylePr w:type="nwCell">
      <w:tblPr/>
      <w:tcPr>
        <w:shd w:val="clear" w:color="auto" w:fill="FFFFFF"/>
      </w:tcPr>
    </w:tblStylePr>
    <w:tblStylePr w:type="swCell">
      <w:tblPr/>
      <w:tcPr>
        <w:tcBorders>
          <w:top w:val="nil"/>
        </w:tcBorders>
      </w:tcPr>
    </w:tblStylePr>
  </w:style>
  <w:style w:type="table" w:styleId="rednialista2akcent4">
    <w:name w:val="Medium List 2 Accent 4"/>
    <w:basedOn w:val="Standardowy"/>
    <w:uiPriority w:val="66"/>
    <w:semiHidden/>
    <w:unhideWhenUsed/>
    <w:rsid w:val="00C70628"/>
    <w:rPr>
      <w:rFonts w:ascii="Segoe UI Light" w:eastAsia="MS Gothic" w:hAnsi="Segoe UI Light" w:cs="Segoe UI Light"/>
      <w:color w:val="000000"/>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rPr>
        <w:sz w:val="24"/>
        <w:szCs w:val="24"/>
      </w:rPr>
      <w:tblPr/>
      <w:tcPr>
        <w:tcBorders>
          <w:top w:val="nil"/>
          <w:left w:val="nil"/>
          <w:bottom w:val="single" w:sz="24" w:space="0" w:color="FFC00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table" w:styleId="rednialista2akcent5">
    <w:name w:val="Medium List 2 Accent 5"/>
    <w:basedOn w:val="Standardowy"/>
    <w:uiPriority w:val="66"/>
    <w:semiHidden/>
    <w:unhideWhenUsed/>
    <w:rsid w:val="00C70628"/>
    <w:rPr>
      <w:rFonts w:ascii="Segoe UI Light" w:eastAsia="MS Gothic" w:hAnsi="Segoe UI Light" w:cs="Segoe UI Light"/>
      <w:color w:val="000000"/>
    </w:rPr>
    <w:tblPr>
      <w:tblStyleRowBandSize w:val="1"/>
      <w:tblStyleColBandSize w:val="1"/>
      <w:tblBorders>
        <w:top w:val="single" w:sz="8" w:space="0" w:color="2B579A"/>
        <w:left w:val="single" w:sz="8" w:space="0" w:color="2B579A"/>
        <w:bottom w:val="single" w:sz="8" w:space="0" w:color="2B579A"/>
        <w:right w:val="single" w:sz="8" w:space="0" w:color="2B579A"/>
      </w:tblBorders>
    </w:tblPr>
    <w:tblStylePr w:type="firstRow">
      <w:rPr>
        <w:sz w:val="24"/>
        <w:szCs w:val="24"/>
      </w:rPr>
      <w:tblPr/>
      <w:tcPr>
        <w:tcBorders>
          <w:top w:val="nil"/>
          <w:left w:val="nil"/>
          <w:bottom w:val="single" w:sz="24" w:space="0" w:color="2B579A"/>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2B579A"/>
          <w:insideH w:val="nil"/>
          <w:insideV w:val="nil"/>
        </w:tcBorders>
        <w:shd w:val="clear" w:color="auto" w:fill="FFFFFF"/>
      </w:tcPr>
    </w:tblStylePr>
    <w:tblStylePr w:type="lastCol">
      <w:tblPr/>
      <w:tcPr>
        <w:tcBorders>
          <w:top w:val="nil"/>
          <w:left w:val="single" w:sz="8" w:space="0" w:color="2B579A"/>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2D3EE"/>
      </w:tcPr>
    </w:tblStylePr>
    <w:tblStylePr w:type="band1Horz">
      <w:tblPr/>
      <w:tcPr>
        <w:tcBorders>
          <w:top w:val="nil"/>
          <w:bottom w:val="nil"/>
          <w:insideH w:val="nil"/>
          <w:insideV w:val="nil"/>
        </w:tcBorders>
        <w:shd w:val="clear" w:color="auto" w:fill="C2D3EE"/>
      </w:tcPr>
    </w:tblStylePr>
    <w:tblStylePr w:type="nwCell">
      <w:tblPr/>
      <w:tcPr>
        <w:shd w:val="clear" w:color="auto" w:fill="FFFFFF"/>
      </w:tcPr>
    </w:tblStylePr>
    <w:tblStylePr w:type="swCell">
      <w:tblPr/>
      <w:tcPr>
        <w:tcBorders>
          <w:top w:val="nil"/>
        </w:tcBorders>
      </w:tcPr>
    </w:tblStylePr>
  </w:style>
  <w:style w:type="table" w:styleId="rednialista2akcent6">
    <w:name w:val="Medium List 2 Accent 6"/>
    <w:basedOn w:val="Standardowy"/>
    <w:uiPriority w:val="66"/>
    <w:semiHidden/>
    <w:unhideWhenUsed/>
    <w:rsid w:val="00C70628"/>
    <w:rPr>
      <w:rFonts w:ascii="Segoe UI Light" w:eastAsia="MS Gothic" w:hAnsi="Segoe UI Light" w:cs="Segoe UI Light"/>
      <w:color w:val="000000"/>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rPr>
        <w:sz w:val="24"/>
        <w:szCs w:val="24"/>
      </w:rPr>
      <w:tblPr/>
      <w:tcPr>
        <w:tcBorders>
          <w:top w:val="nil"/>
          <w:left w:val="nil"/>
          <w:bottom w:val="single" w:sz="24" w:space="0" w:color="70AD47"/>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70AD47"/>
          <w:insideH w:val="nil"/>
          <w:insideV w:val="nil"/>
        </w:tcBorders>
        <w:shd w:val="clear" w:color="auto" w:fill="FFFFFF"/>
      </w:tcPr>
    </w:tblStylePr>
    <w:tblStylePr w:type="lastCol">
      <w:tblPr/>
      <w:tcPr>
        <w:tcBorders>
          <w:top w:val="nil"/>
          <w:left w:val="single" w:sz="8" w:space="0" w:color="70AD4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BEBD0"/>
      </w:tcPr>
    </w:tblStylePr>
    <w:tblStylePr w:type="band1Horz">
      <w:tblPr/>
      <w:tcPr>
        <w:tcBorders>
          <w:top w:val="nil"/>
          <w:bottom w:val="nil"/>
          <w:insideH w:val="nil"/>
          <w:insideV w:val="nil"/>
        </w:tcBorders>
        <w:shd w:val="clear" w:color="auto" w:fill="DBEBD0"/>
      </w:tcPr>
    </w:tblStylePr>
    <w:tblStylePr w:type="nwCell">
      <w:tblPr/>
      <w:tcPr>
        <w:shd w:val="clear" w:color="auto" w:fill="FFFFFF"/>
      </w:tcPr>
    </w:tblStylePr>
    <w:tblStylePr w:type="swCell">
      <w:tblPr/>
      <w:tcPr>
        <w:tcBorders>
          <w:top w:val="nil"/>
        </w:tcBorders>
      </w:tcPr>
    </w:tblStylePr>
  </w:style>
  <w:style w:type="table" w:styleId="redniecieniowanie1">
    <w:name w:val="Medium Shading 1"/>
    <w:basedOn w:val="Standardowy"/>
    <w:uiPriority w:val="63"/>
    <w:semiHidden/>
    <w:unhideWhenUsed/>
    <w:rsid w:val="00C706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unhideWhenUsed/>
    <w:rsid w:val="00C70628"/>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unhideWhenUsed/>
    <w:rsid w:val="00C70628"/>
    <w:tblPr>
      <w:tblStyleRowBandSize w:val="1"/>
      <w:tblStyleColBandSize w:val="1"/>
      <w:tblBorders>
        <w:top w:val="single" w:sz="8" w:space="0" w:color="FF4040"/>
        <w:left w:val="single" w:sz="8" w:space="0" w:color="FF4040"/>
        <w:bottom w:val="single" w:sz="8" w:space="0" w:color="FF4040"/>
        <w:right w:val="single" w:sz="8" w:space="0" w:color="FF4040"/>
        <w:insideH w:val="single" w:sz="8" w:space="0" w:color="FF4040"/>
      </w:tblBorders>
    </w:tblPr>
    <w:tblStylePr w:type="firstRow">
      <w:pPr>
        <w:spacing w:before="0" w:after="0" w:line="240" w:lineRule="auto"/>
      </w:pPr>
      <w:rPr>
        <w:b/>
        <w:bCs/>
        <w:color w:val="FFFFFF"/>
      </w:rPr>
      <w:tblPr/>
      <w:tcPr>
        <w:tcBorders>
          <w:top w:val="single" w:sz="8" w:space="0" w:color="FF4040"/>
          <w:left w:val="single" w:sz="8" w:space="0" w:color="FF4040"/>
          <w:bottom w:val="single" w:sz="8" w:space="0" w:color="FF4040"/>
          <w:right w:val="single" w:sz="8" w:space="0" w:color="FF4040"/>
          <w:insideH w:val="nil"/>
          <w:insideV w:val="nil"/>
        </w:tcBorders>
        <w:shd w:val="clear" w:color="auto" w:fill="FF0000"/>
      </w:tcPr>
    </w:tblStylePr>
    <w:tblStylePr w:type="lastRow">
      <w:pPr>
        <w:spacing w:before="0" w:after="0" w:line="240" w:lineRule="auto"/>
      </w:pPr>
      <w:rPr>
        <w:b/>
        <w:bCs/>
      </w:rPr>
      <w:tblPr/>
      <w:tcPr>
        <w:tcBorders>
          <w:top w:val="double" w:sz="6" w:space="0" w:color="FF4040"/>
          <w:left w:val="single" w:sz="8" w:space="0" w:color="FF4040"/>
          <w:bottom w:val="single" w:sz="8" w:space="0" w:color="FF4040"/>
          <w:right w:val="single" w:sz="8" w:space="0" w:color="FF4040"/>
          <w:insideH w:val="nil"/>
          <w:insideV w:val="nil"/>
        </w:tcBorders>
      </w:tcPr>
    </w:tblStylePr>
    <w:tblStylePr w:type="firstCol">
      <w:rPr>
        <w:b/>
        <w:bCs/>
      </w:rPr>
    </w:tblStylePr>
    <w:tblStylePr w:type="lastCol">
      <w:rPr>
        <w:b/>
        <w:bCs/>
      </w:rPr>
    </w:tblStylePr>
    <w:tblStylePr w:type="band1Vert">
      <w:tblPr/>
      <w:tcPr>
        <w:shd w:val="clear" w:color="auto" w:fill="FFC0C0"/>
      </w:tcPr>
    </w:tblStylePr>
    <w:tblStylePr w:type="band1Horz">
      <w:tblPr/>
      <w:tcPr>
        <w:tcBorders>
          <w:insideH w:val="nil"/>
          <w:insideV w:val="nil"/>
        </w:tcBorders>
        <w:shd w:val="clear" w:color="auto" w:fill="FFC0C0"/>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unhideWhenUsed/>
    <w:rsid w:val="00C70628"/>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unhideWhenUsed/>
    <w:rsid w:val="00C70628"/>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unhideWhenUsed/>
    <w:rsid w:val="00C70628"/>
    <w:tblPr>
      <w:tblStyleRowBandSize w:val="1"/>
      <w:tblStyleColBandSize w:val="1"/>
      <w:tblBorders>
        <w:top w:val="single" w:sz="8" w:space="0" w:color="477BCB"/>
        <w:left w:val="single" w:sz="8" w:space="0" w:color="477BCB"/>
        <w:bottom w:val="single" w:sz="8" w:space="0" w:color="477BCB"/>
        <w:right w:val="single" w:sz="8" w:space="0" w:color="477BCB"/>
        <w:insideH w:val="single" w:sz="8" w:space="0" w:color="477BCB"/>
      </w:tblBorders>
    </w:tblPr>
    <w:tblStylePr w:type="firstRow">
      <w:pPr>
        <w:spacing w:before="0" w:after="0" w:line="240" w:lineRule="auto"/>
      </w:pPr>
      <w:rPr>
        <w:b/>
        <w:bCs/>
        <w:color w:val="FFFFFF"/>
      </w:rPr>
      <w:tblPr/>
      <w:tcPr>
        <w:tcBorders>
          <w:top w:val="single" w:sz="8" w:space="0" w:color="477BCB"/>
          <w:left w:val="single" w:sz="8" w:space="0" w:color="477BCB"/>
          <w:bottom w:val="single" w:sz="8" w:space="0" w:color="477BCB"/>
          <w:right w:val="single" w:sz="8" w:space="0" w:color="477BCB"/>
          <w:insideH w:val="nil"/>
          <w:insideV w:val="nil"/>
        </w:tcBorders>
        <w:shd w:val="clear" w:color="auto" w:fill="2B579A"/>
      </w:tcPr>
    </w:tblStylePr>
    <w:tblStylePr w:type="lastRow">
      <w:pPr>
        <w:spacing w:before="0" w:after="0" w:line="240" w:lineRule="auto"/>
      </w:pPr>
      <w:rPr>
        <w:b/>
        <w:bCs/>
      </w:rPr>
      <w:tblPr/>
      <w:tcPr>
        <w:tcBorders>
          <w:top w:val="double" w:sz="6" w:space="0" w:color="477BCB"/>
          <w:left w:val="single" w:sz="8" w:space="0" w:color="477BCB"/>
          <w:bottom w:val="single" w:sz="8" w:space="0" w:color="477BCB"/>
          <w:right w:val="single" w:sz="8" w:space="0" w:color="477BCB"/>
          <w:insideH w:val="nil"/>
          <w:insideV w:val="nil"/>
        </w:tcBorders>
      </w:tcPr>
    </w:tblStylePr>
    <w:tblStylePr w:type="firstCol">
      <w:rPr>
        <w:b/>
        <w:bCs/>
      </w:rPr>
    </w:tblStylePr>
    <w:tblStylePr w:type="lastCol">
      <w:rPr>
        <w:b/>
        <w:bCs/>
      </w:rPr>
    </w:tblStylePr>
    <w:tblStylePr w:type="band1Vert">
      <w:tblPr/>
      <w:tcPr>
        <w:shd w:val="clear" w:color="auto" w:fill="C2D3EE"/>
      </w:tcPr>
    </w:tblStylePr>
    <w:tblStylePr w:type="band1Horz">
      <w:tblPr/>
      <w:tcPr>
        <w:tcBorders>
          <w:insideH w:val="nil"/>
          <w:insideV w:val="nil"/>
        </w:tcBorders>
        <w:shd w:val="clear" w:color="auto" w:fill="C2D3EE"/>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unhideWhenUsed/>
    <w:rsid w:val="00C70628"/>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styleId="redniecieniowanie2">
    <w:name w:val="Medium Shading 2"/>
    <w:basedOn w:val="Standardowy"/>
    <w:uiPriority w:val="64"/>
    <w:semiHidden/>
    <w:unhideWhenUsed/>
    <w:rsid w:val="00C706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redniecieniowanie2akcent1">
    <w:name w:val="Medium Shading 2 Accent 1"/>
    <w:basedOn w:val="Standardowy"/>
    <w:uiPriority w:val="64"/>
    <w:semiHidden/>
    <w:unhideWhenUsed/>
    <w:rsid w:val="00C706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redniecieniowanie2akcent2">
    <w:name w:val="Medium Shading 2 Accent 2"/>
    <w:basedOn w:val="Standardowy"/>
    <w:uiPriority w:val="64"/>
    <w:semiHidden/>
    <w:unhideWhenUsed/>
    <w:rsid w:val="00C706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FF0000"/>
      </w:tcPr>
    </w:tblStylePr>
    <w:tblStylePr w:type="lastCol">
      <w:rPr>
        <w:b/>
        <w:bCs/>
        <w:color w:val="FFFFFF"/>
      </w:rPr>
      <w:tblPr/>
      <w:tcPr>
        <w:tcBorders>
          <w:left w:val="nil"/>
          <w:right w:val="nil"/>
          <w:insideH w:val="nil"/>
          <w:insideV w:val="nil"/>
        </w:tcBorders>
        <w:shd w:val="clear" w:color="auto" w:fill="FF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redniecieniowanie2akcent3">
    <w:name w:val="Medium Shading 2 Accent 3"/>
    <w:basedOn w:val="Standardowy"/>
    <w:uiPriority w:val="64"/>
    <w:semiHidden/>
    <w:unhideWhenUsed/>
    <w:rsid w:val="00C706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redniecieniowanie2akcent4">
    <w:name w:val="Medium Shading 2 Accent 4"/>
    <w:basedOn w:val="Standardowy"/>
    <w:uiPriority w:val="64"/>
    <w:semiHidden/>
    <w:unhideWhenUsed/>
    <w:rsid w:val="00C706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C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FFC000"/>
      </w:tcPr>
    </w:tblStylePr>
    <w:tblStylePr w:type="lastCol">
      <w:rPr>
        <w:b/>
        <w:bCs/>
        <w:color w:val="FFFFFF"/>
      </w:rPr>
      <w:tblPr/>
      <w:tcPr>
        <w:tcBorders>
          <w:left w:val="nil"/>
          <w:right w:val="nil"/>
          <w:insideH w:val="nil"/>
          <w:insideV w:val="nil"/>
        </w:tcBorders>
        <w:shd w:val="clear" w:color="auto" w:fill="FFC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redniecieniowanie2akcent5">
    <w:name w:val="Medium Shading 2 Accent 5"/>
    <w:basedOn w:val="Standardowy"/>
    <w:uiPriority w:val="64"/>
    <w:semiHidden/>
    <w:unhideWhenUsed/>
    <w:rsid w:val="00C706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2B579A"/>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2B579A"/>
      </w:tcPr>
    </w:tblStylePr>
    <w:tblStylePr w:type="lastCol">
      <w:rPr>
        <w:b/>
        <w:bCs/>
        <w:color w:val="FFFFFF"/>
      </w:rPr>
      <w:tblPr/>
      <w:tcPr>
        <w:tcBorders>
          <w:left w:val="nil"/>
          <w:right w:val="nil"/>
          <w:insideH w:val="nil"/>
          <w:insideV w:val="nil"/>
        </w:tcBorders>
        <w:shd w:val="clear" w:color="auto" w:fill="2B579A"/>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redniecieniowanie2akcent6">
    <w:name w:val="Medium Shading 2 Accent 6"/>
    <w:basedOn w:val="Standardowy"/>
    <w:uiPriority w:val="64"/>
    <w:semiHidden/>
    <w:unhideWhenUsed/>
    <w:rsid w:val="00C706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70AD4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70AD47"/>
      </w:tcPr>
    </w:tblStylePr>
    <w:tblStylePr w:type="lastCol">
      <w:rPr>
        <w:b/>
        <w:bCs/>
        <w:color w:val="FFFFFF"/>
      </w:rPr>
      <w:tblPr/>
      <w:tcPr>
        <w:tcBorders>
          <w:left w:val="nil"/>
          <w:right w:val="nil"/>
          <w:insideH w:val="nil"/>
          <w:insideV w:val="nil"/>
        </w:tcBorders>
        <w:shd w:val="clear" w:color="auto" w:fill="70AD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paragraph" w:styleId="Nagwekwiadomoci">
    <w:name w:val="Message Header"/>
    <w:basedOn w:val="Normalny"/>
    <w:link w:val="NagwekwiadomociZnak"/>
    <w:uiPriority w:val="99"/>
    <w:semiHidden/>
    <w:unhideWhenUsed/>
    <w:rsid w:val="00C70628"/>
    <w:pPr>
      <w:pBdr>
        <w:top w:val="single" w:sz="6" w:space="1" w:color="auto"/>
        <w:left w:val="single" w:sz="6" w:space="1" w:color="auto"/>
        <w:bottom w:val="single" w:sz="6" w:space="1" w:color="auto"/>
        <w:right w:val="single" w:sz="6" w:space="1" w:color="auto"/>
      </w:pBdr>
      <w:shd w:val="pct20" w:color="auto" w:fill="auto"/>
      <w:spacing w:before="0" w:line="240" w:lineRule="auto"/>
      <w:ind w:left="1080" w:hanging="1080"/>
    </w:pPr>
    <w:rPr>
      <w:rFonts w:ascii="Segoe UI Light" w:eastAsia="MS Gothic" w:hAnsi="Segoe UI Light" w:cs="Segoe UI Light"/>
      <w:sz w:val="24"/>
      <w:szCs w:val="24"/>
    </w:rPr>
  </w:style>
  <w:style w:type="character" w:customStyle="1" w:styleId="NagwekwiadomociZnak">
    <w:name w:val="Nagłówek wiadomości Znak"/>
    <w:link w:val="Nagwekwiadomoci"/>
    <w:uiPriority w:val="99"/>
    <w:semiHidden/>
    <w:rsid w:val="00C70628"/>
    <w:rPr>
      <w:rFonts w:ascii="Segoe UI Light" w:eastAsia="MS Gothic" w:hAnsi="Segoe UI Light" w:cs="Segoe UI Light"/>
      <w:sz w:val="24"/>
      <w:szCs w:val="24"/>
      <w:shd w:val="pct20" w:color="auto" w:fill="auto"/>
    </w:rPr>
  </w:style>
  <w:style w:type="paragraph" w:styleId="Bezodstpw">
    <w:name w:val="No Spacing"/>
    <w:uiPriority w:val="1"/>
    <w:semiHidden/>
    <w:unhideWhenUsed/>
    <w:rsid w:val="00C70628"/>
    <w:rPr>
      <w:rFonts w:cs="Segoe UI"/>
      <w:sz w:val="22"/>
      <w:szCs w:val="22"/>
      <w:lang w:eastAsia="en-US"/>
    </w:rPr>
  </w:style>
  <w:style w:type="paragraph" w:styleId="Wcicienormalne">
    <w:name w:val="Normal Indent"/>
    <w:basedOn w:val="Normalny"/>
    <w:uiPriority w:val="99"/>
    <w:semiHidden/>
    <w:unhideWhenUsed/>
    <w:rsid w:val="00C70628"/>
    <w:pPr>
      <w:ind w:left="720"/>
    </w:pPr>
  </w:style>
  <w:style w:type="paragraph" w:styleId="Nagweknotatki">
    <w:name w:val="Note Heading"/>
    <w:basedOn w:val="Normalny"/>
    <w:next w:val="Normalny"/>
    <w:link w:val="NagweknotatkiZnak"/>
    <w:uiPriority w:val="99"/>
    <w:semiHidden/>
    <w:unhideWhenUsed/>
    <w:rsid w:val="00C70628"/>
    <w:pPr>
      <w:spacing w:before="0" w:line="240" w:lineRule="auto"/>
    </w:pPr>
  </w:style>
  <w:style w:type="character" w:customStyle="1" w:styleId="NagweknotatkiZnak">
    <w:name w:val="Nagłówek notatki Znak"/>
    <w:link w:val="Nagweknotatki"/>
    <w:uiPriority w:val="99"/>
    <w:semiHidden/>
    <w:rsid w:val="00C70628"/>
    <w:rPr>
      <w:rFonts w:ascii="Segoe UI" w:hAnsi="Segoe UI" w:cs="Segoe UI"/>
    </w:rPr>
  </w:style>
  <w:style w:type="character" w:styleId="Numerstrony">
    <w:name w:val="page number"/>
    <w:uiPriority w:val="99"/>
    <w:semiHidden/>
    <w:unhideWhenUsed/>
    <w:rsid w:val="00C70628"/>
    <w:rPr>
      <w:rFonts w:ascii="Segoe UI" w:hAnsi="Segoe UI" w:cs="Segoe UI"/>
    </w:rPr>
  </w:style>
  <w:style w:type="character" w:styleId="Tekstzastpczy">
    <w:name w:val="Placeholder Text"/>
    <w:uiPriority w:val="99"/>
    <w:semiHidden/>
    <w:rsid w:val="00C70628"/>
    <w:rPr>
      <w:rFonts w:ascii="Segoe UI" w:hAnsi="Segoe UI" w:cs="Segoe UI"/>
      <w:color w:val="595959"/>
    </w:rPr>
  </w:style>
  <w:style w:type="table" w:styleId="Zwykatabela1">
    <w:name w:val="Plain Table 1"/>
    <w:basedOn w:val="Standardowy"/>
    <w:uiPriority w:val="41"/>
    <w:rsid w:val="00C7062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Zwykatabela2">
    <w:name w:val="Plain Table 2"/>
    <w:basedOn w:val="Standardowy"/>
    <w:uiPriority w:val="42"/>
    <w:rsid w:val="00C7062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Zwykatabela3">
    <w:name w:val="Plain Table 3"/>
    <w:basedOn w:val="Standardowy"/>
    <w:uiPriority w:val="43"/>
    <w:rsid w:val="00C70628"/>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rsid w:val="00C7062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Zwykatabela5">
    <w:name w:val="Plain Table 5"/>
    <w:basedOn w:val="Standardowy"/>
    <w:uiPriority w:val="45"/>
    <w:rsid w:val="00C70628"/>
    <w:tblPr>
      <w:tblStyleRowBandSize w:val="1"/>
      <w:tblStyleColBandSize w:val="1"/>
    </w:tblPr>
    <w:tblStylePr w:type="firstRow">
      <w:rPr>
        <w:rFonts w:ascii="Segoe UI Light" w:eastAsia="MS Gothic" w:hAnsi="Segoe UI Light" w:cs="Times New Roman"/>
        <w:i/>
        <w:iCs/>
        <w:sz w:val="26"/>
      </w:rPr>
      <w:tblPr/>
      <w:tcPr>
        <w:tcBorders>
          <w:bottom w:val="single" w:sz="4" w:space="0" w:color="7F7F7F"/>
        </w:tcBorders>
        <w:shd w:val="clear" w:color="auto" w:fill="FFFFFF"/>
      </w:tcPr>
    </w:tblStylePr>
    <w:tblStylePr w:type="lastRow">
      <w:rPr>
        <w:rFonts w:ascii="Segoe UI Light" w:eastAsia="MS Gothic" w:hAnsi="Segoe UI Light" w:cs="Times New Roman"/>
        <w:i/>
        <w:iCs/>
        <w:sz w:val="26"/>
      </w:rPr>
      <w:tblPr/>
      <w:tcPr>
        <w:tcBorders>
          <w:top w:val="single" w:sz="4" w:space="0" w:color="7F7F7F"/>
        </w:tcBorders>
        <w:shd w:val="clear" w:color="auto" w:fill="FFFFFF"/>
      </w:tcPr>
    </w:tblStylePr>
    <w:tblStylePr w:type="firstCol">
      <w:pPr>
        <w:jc w:val="right"/>
      </w:pPr>
      <w:rPr>
        <w:rFonts w:ascii="Segoe UI Light" w:eastAsia="MS Gothic" w:hAnsi="Segoe UI Light" w:cs="Times New Roman"/>
        <w:i/>
        <w:iCs/>
        <w:sz w:val="26"/>
      </w:rPr>
      <w:tblPr/>
      <w:tcPr>
        <w:tcBorders>
          <w:right w:val="single" w:sz="4" w:space="0" w:color="7F7F7F"/>
        </w:tcBorders>
        <w:shd w:val="clear" w:color="auto" w:fill="FFFFFF"/>
      </w:tcPr>
    </w:tblStylePr>
    <w:tblStylePr w:type="lastCol">
      <w:rPr>
        <w:rFonts w:ascii="Segoe UI Light" w:eastAsia="MS Gothic" w:hAnsi="Segoe U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Zwykytekst">
    <w:name w:val="Plain Text"/>
    <w:basedOn w:val="Normalny"/>
    <w:link w:val="ZwykytekstZnak"/>
    <w:uiPriority w:val="99"/>
    <w:semiHidden/>
    <w:unhideWhenUsed/>
    <w:rsid w:val="00C70628"/>
    <w:pPr>
      <w:spacing w:before="0" w:line="240" w:lineRule="auto"/>
    </w:pPr>
    <w:rPr>
      <w:rFonts w:ascii="Consolas" w:hAnsi="Consolas" w:cs="Consolas"/>
      <w:szCs w:val="21"/>
    </w:rPr>
  </w:style>
  <w:style w:type="character" w:customStyle="1" w:styleId="ZwykytekstZnak">
    <w:name w:val="Zwykły tekst Znak"/>
    <w:link w:val="Zwykytekst"/>
    <w:uiPriority w:val="99"/>
    <w:semiHidden/>
    <w:rsid w:val="00C70628"/>
    <w:rPr>
      <w:rFonts w:ascii="Consolas" w:hAnsi="Consolas" w:cs="Consolas"/>
      <w:szCs w:val="21"/>
    </w:rPr>
  </w:style>
  <w:style w:type="paragraph" w:styleId="Cytat">
    <w:name w:val="Quote"/>
    <w:basedOn w:val="Normalny"/>
    <w:next w:val="Normalny"/>
    <w:link w:val="CytatZnak"/>
    <w:uiPriority w:val="29"/>
    <w:semiHidden/>
    <w:unhideWhenUsed/>
    <w:qFormat/>
    <w:rsid w:val="00C70628"/>
    <w:pPr>
      <w:spacing w:before="200" w:after="160"/>
      <w:jc w:val="center"/>
    </w:pPr>
    <w:rPr>
      <w:i/>
      <w:iCs/>
      <w:color w:val="404040"/>
    </w:rPr>
  </w:style>
  <w:style w:type="character" w:customStyle="1" w:styleId="CytatZnak">
    <w:name w:val="Cytat Znak"/>
    <w:link w:val="Cytat"/>
    <w:uiPriority w:val="29"/>
    <w:semiHidden/>
    <w:rsid w:val="00C70628"/>
    <w:rPr>
      <w:rFonts w:ascii="Segoe UI" w:hAnsi="Segoe UI" w:cs="Segoe UI"/>
      <w:i/>
      <w:iCs/>
      <w:color w:val="404040"/>
    </w:rPr>
  </w:style>
  <w:style w:type="paragraph" w:styleId="Zwrotgrzecznociowy">
    <w:name w:val="Salutation"/>
    <w:basedOn w:val="Normalny"/>
    <w:next w:val="Normalny"/>
    <w:link w:val="ZwrotgrzecznociowyZnak"/>
    <w:uiPriority w:val="99"/>
    <w:semiHidden/>
    <w:unhideWhenUsed/>
    <w:rsid w:val="00C70628"/>
  </w:style>
  <w:style w:type="character" w:customStyle="1" w:styleId="ZwrotgrzecznociowyZnak">
    <w:name w:val="Zwrot grzecznościowy Znak"/>
    <w:link w:val="Zwrotgrzecznociowy"/>
    <w:uiPriority w:val="99"/>
    <w:semiHidden/>
    <w:rsid w:val="00C70628"/>
    <w:rPr>
      <w:rFonts w:ascii="Segoe UI" w:hAnsi="Segoe UI" w:cs="Segoe UI"/>
    </w:rPr>
  </w:style>
  <w:style w:type="paragraph" w:styleId="Podpis">
    <w:name w:val="Signature"/>
    <w:basedOn w:val="Normalny"/>
    <w:link w:val="PodpisZnak"/>
    <w:uiPriority w:val="99"/>
    <w:semiHidden/>
    <w:unhideWhenUsed/>
    <w:rsid w:val="00C70628"/>
    <w:pPr>
      <w:spacing w:before="0" w:line="240" w:lineRule="auto"/>
      <w:ind w:left="4320"/>
    </w:pPr>
  </w:style>
  <w:style w:type="character" w:customStyle="1" w:styleId="PodpisZnak">
    <w:name w:val="Podpis Znak"/>
    <w:link w:val="Podpis"/>
    <w:uiPriority w:val="99"/>
    <w:semiHidden/>
    <w:rsid w:val="00C70628"/>
    <w:rPr>
      <w:rFonts w:ascii="Segoe UI" w:hAnsi="Segoe UI" w:cs="Segoe UI"/>
    </w:rPr>
  </w:style>
  <w:style w:type="character" w:styleId="Wyrnieniedelikatne">
    <w:name w:val="Subtle Emphasis"/>
    <w:uiPriority w:val="19"/>
    <w:semiHidden/>
    <w:unhideWhenUsed/>
    <w:qFormat/>
    <w:rsid w:val="00C70628"/>
    <w:rPr>
      <w:rFonts w:ascii="Segoe UI" w:hAnsi="Segoe UI" w:cs="Segoe UI"/>
      <w:i/>
      <w:iCs/>
      <w:color w:val="404040"/>
    </w:rPr>
  </w:style>
  <w:style w:type="character" w:styleId="Odwoaniedelikatne">
    <w:name w:val="Subtle Reference"/>
    <w:uiPriority w:val="31"/>
    <w:semiHidden/>
    <w:unhideWhenUsed/>
    <w:qFormat/>
    <w:rsid w:val="00C70628"/>
    <w:rPr>
      <w:rFonts w:ascii="Segoe UI" w:hAnsi="Segoe UI" w:cs="Segoe UI"/>
      <w:smallCaps/>
      <w:color w:val="5A5A5A"/>
    </w:rPr>
  </w:style>
  <w:style w:type="table" w:styleId="Tabela-Efekty3D1">
    <w:name w:val="Table 3D effects 1"/>
    <w:basedOn w:val="Standardowy"/>
    <w:uiPriority w:val="99"/>
    <w:semiHidden/>
    <w:unhideWhenUsed/>
    <w:rsid w:val="00C7062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C7062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C7062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C7062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C7062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C7062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C7062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C7062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C7062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C7062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C7062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C7062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C7062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C7062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C7062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C7062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C7062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C7062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C7062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C7062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C7062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C7062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C7062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C7062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C7062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Siatkatabelijasna">
    <w:name w:val="Grid Table Light"/>
    <w:basedOn w:val="Standardowy"/>
    <w:uiPriority w:val="40"/>
    <w:rsid w:val="00C70628"/>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ela-Lista1">
    <w:name w:val="Table List 1"/>
    <w:basedOn w:val="Standardowy"/>
    <w:uiPriority w:val="99"/>
    <w:semiHidden/>
    <w:unhideWhenUsed/>
    <w:rsid w:val="00C7062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C7062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C7062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C7062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C7062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C7062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C7062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C7062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C70628"/>
    <w:pPr>
      <w:ind w:left="220" w:hanging="220"/>
    </w:pPr>
  </w:style>
  <w:style w:type="paragraph" w:styleId="Spisilustracji">
    <w:name w:val="table of figures"/>
    <w:basedOn w:val="Normalny"/>
    <w:next w:val="Normalny"/>
    <w:uiPriority w:val="99"/>
    <w:semiHidden/>
    <w:unhideWhenUsed/>
    <w:rsid w:val="00C70628"/>
  </w:style>
  <w:style w:type="table" w:styleId="Tabela-Profesjonalny">
    <w:name w:val="Table Professional"/>
    <w:basedOn w:val="Standardowy"/>
    <w:uiPriority w:val="99"/>
    <w:semiHidden/>
    <w:unhideWhenUsed/>
    <w:rsid w:val="00C7062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C7062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C7062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C7062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C7062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C7062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C706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C7062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C7062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C7062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unhideWhenUsed/>
    <w:rsid w:val="00C70628"/>
    <w:pPr>
      <w:spacing w:before="120"/>
    </w:pPr>
    <w:rPr>
      <w:rFonts w:ascii="Segoe UI Light" w:eastAsia="MS Gothic" w:hAnsi="Segoe UI Light" w:cs="Segoe UI Light"/>
      <w:b/>
      <w:bCs/>
      <w:sz w:val="24"/>
      <w:szCs w:val="24"/>
    </w:rPr>
  </w:style>
  <w:style w:type="paragraph" w:styleId="Spistreci1">
    <w:name w:val="toc 1"/>
    <w:basedOn w:val="Normalny"/>
    <w:next w:val="Normalny"/>
    <w:autoRedefine/>
    <w:uiPriority w:val="39"/>
    <w:unhideWhenUsed/>
    <w:rsid w:val="00C70628"/>
    <w:pPr>
      <w:spacing w:after="100"/>
    </w:pPr>
    <w:rPr>
      <w:noProof/>
    </w:rPr>
  </w:style>
  <w:style w:type="paragraph" w:styleId="Spistreci2">
    <w:name w:val="toc 2"/>
    <w:basedOn w:val="Normalny"/>
    <w:next w:val="Normalny"/>
    <w:autoRedefine/>
    <w:uiPriority w:val="39"/>
    <w:unhideWhenUsed/>
    <w:rsid w:val="00C70628"/>
    <w:pPr>
      <w:spacing w:after="100"/>
      <w:ind w:left="220"/>
    </w:pPr>
  </w:style>
  <w:style w:type="paragraph" w:styleId="Spistreci3">
    <w:name w:val="toc 3"/>
    <w:basedOn w:val="Normalny"/>
    <w:next w:val="Normalny"/>
    <w:autoRedefine/>
    <w:uiPriority w:val="39"/>
    <w:unhideWhenUsed/>
    <w:rsid w:val="00C70628"/>
    <w:pPr>
      <w:spacing w:after="100"/>
      <w:ind w:left="440"/>
    </w:pPr>
  </w:style>
  <w:style w:type="paragraph" w:styleId="Spistreci4">
    <w:name w:val="toc 4"/>
    <w:basedOn w:val="Normalny"/>
    <w:next w:val="Normalny"/>
    <w:autoRedefine/>
    <w:uiPriority w:val="39"/>
    <w:semiHidden/>
    <w:unhideWhenUsed/>
    <w:rsid w:val="00C70628"/>
    <w:pPr>
      <w:spacing w:after="100"/>
      <w:ind w:left="660"/>
    </w:pPr>
  </w:style>
  <w:style w:type="paragraph" w:styleId="Spistreci5">
    <w:name w:val="toc 5"/>
    <w:basedOn w:val="Normalny"/>
    <w:next w:val="Normalny"/>
    <w:autoRedefine/>
    <w:uiPriority w:val="39"/>
    <w:semiHidden/>
    <w:unhideWhenUsed/>
    <w:rsid w:val="00C70628"/>
    <w:pPr>
      <w:spacing w:after="100"/>
      <w:ind w:left="880"/>
    </w:pPr>
  </w:style>
  <w:style w:type="paragraph" w:styleId="Spistreci6">
    <w:name w:val="toc 6"/>
    <w:basedOn w:val="Normalny"/>
    <w:next w:val="Normalny"/>
    <w:autoRedefine/>
    <w:uiPriority w:val="39"/>
    <w:semiHidden/>
    <w:unhideWhenUsed/>
    <w:rsid w:val="00C70628"/>
    <w:pPr>
      <w:spacing w:after="100"/>
      <w:ind w:left="1100"/>
    </w:pPr>
  </w:style>
  <w:style w:type="paragraph" w:styleId="Spistreci7">
    <w:name w:val="toc 7"/>
    <w:basedOn w:val="Normalny"/>
    <w:next w:val="Normalny"/>
    <w:autoRedefine/>
    <w:uiPriority w:val="39"/>
    <w:semiHidden/>
    <w:unhideWhenUsed/>
    <w:rsid w:val="00C70628"/>
    <w:pPr>
      <w:spacing w:after="100"/>
      <w:ind w:left="1320"/>
    </w:pPr>
  </w:style>
  <w:style w:type="paragraph" w:styleId="Spistreci8">
    <w:name w:val="toc 8"/>
    <w:basedOn w:val="Normalny"/>
    <w:next w:val="Normalny"/>
    <w:autoRedefine/>
    <w:uiPriority w:val="39"/>
    <w:semiHidden/>
    <w:unhideWhenUsed/>
    <w:rsid w:val="00C70628"/>
    <w:pPr>
      <w:spacing w:after="100"/>
      <w:ind w:left="1540"/>
    </w:pPr>
  </w:style>
  <w:style w:type="paragraph" w:styleId="Spistreci9">
    <w:name w:val="toc 9"/>
    <w:basedOn w:val="Normalny"/>
    <w:next w:val="Normalny"/>
    <w:autoRedefine/>
    <w:uiPriority w:val="39"/>
    <w:semiHidden/>
    <w:unhideWhenUsed/>
    <w:rsid w:val="00C70628"/>
    <w:pPr>
      <w:spacing w:after="100"/>
      <w:ind w:left="1760"/>
    </w:pPr>
  </w:style>
  <w:style w:type="character" w:customStyle="1" w:styleId="UnresolvedMention1">
    <w:name w:val="Unresolved Mention1"/>
    <w:uiPriority w:val="99"/>
    <w:unhideWhenUsed/>
    <w:rsid w:val="00C70628"/>
    <w:rPr>
      <w:rFonts w:ascii="Segoe UI" w:hAnsi="Segoe UI" w:cs="Segoe UI"/>
      <w:color w:val="605E5C"/>
      <w:shd w:val="clear" w:color="auto" w:fill="E1DFDD"/>
    </w:rPr>
  </w:style>
  <w:style w:type="character" w:customStyle="1" w:styleId="Mention1">
    <w:name w:val="Mention1"/>
    <w:uiPriority w:val="99"/>
    <w:unhideWhenUsed/>
    <w:rsid w:val="00C70628"/>
    <w:rPr>
      <w:rFonts w:ascii="Segoe UI" w:hAnsi="Segoe UI" w:cs="Segoe UI"/>
      <w:color w:val="2B579A"/>
      <w:shd w:val="clear" w:color="auto" w:fill="E1DFDD"/>
    </w:rPr>
  </w:style>
  <w:style w:type="paragraph" w:styleId="Poprawka">
    <w:name w:val="Revision"/>
    <w:hidden/>
    <w:uiPriority w:val="99"/>
    <w:semiHidden/>
    <w:rsid w:val="00C70628"/>
    <w:rPr>
      <w:sz w:val="22"/>
      <w:szCs w:val="22"/>
      <w:lang w:eastAsia="en-US"/>
    </w:rPr>
  </w:style>
  <w:style w:type="paragraph" w:customStyle="1" w:styleId="Wyprbujstandardowy">
    <w:name w:val="Wypróbuj standardowy"/>
    <w:basedOn w:val="Normalny"/>
    <w:rsid w:val="00C70628"/>
    <w:pPr>
      <w:ind w:left="720" w:right="720"/>
    </w:pPr>
    <w:rPr>
      <w:i/>
      <w:color w:val="595959"/>
    </w:rPr>
  </w:style>
  <w:style w:type="paragraph" w:customStyle="1" w:styleId="Wyrnienieoferty">
    <w:name w:val="Wyróżnienie oferty"/>
    <w:basedOn w:val="Normalny"/>
    <w:next w:val="Normalny"/>
    <w:link w:val="Wyrnienieofertyznak"/>
    <w:qFormat/>
    <w:rsid w:val="00C70628"/>
    <w:rPr>
      <w:rFonts w:eastAsia="MS Mincho"/>
      <w:i/>
      <w:color w:val="3B3838"/>
    </w:rPr>
  </w:style>
  <w:style w:type="character" w:customStyle="1" w:styleId="ListanumerowanaZnak">
    <w:name w:val="Lista numerowana Znak"/>
    <w:link w:val="Listanumerowana"/>
    <w:uiPriority w:val="10"/>
    <w:rsid w:val="00C70628"/>
    <w:rPr>
      <w:rFonts w:ascii="Segoe UI" w:eastAsia="MS Mincho" w:hAnsi="Segoe UI" w:cs="Segoe UI"/>
      <w:color w:val="3B3838"/>
    </w:rPr>
  </w:style>
  <w:style w:type="character" w:customStyle="1" w:styleId="Wyrnienieofertyznak">
    <w:name w:val="Wyróżnienie oferty — znak"/>
    <w:link w:val="Wyrnienieoferty"/>
    <w:rsid w:val="00C70628"/>
    <w:rPr>
      <w:rFonts w:ascii="Segoe UI" w:eastAsia="MS Mincho" w:hAnsi="Segoe UI" w:cs="Segoe UI"/>
      <w:i/>
      <w:color w:val="3B3838"/>
    </w:rPr>
  </w:style>
  <w:style w:type="numbering" w:styleId="111111">
    <w:name w:val="Outline List 2"/>
    <w:basedOn w:val="Bezlisty"/>
    <w:uiPriority w:val="99"/>
    <w:semiHidden/>
    <w:unhideWhenUsed/>
    <w:rsid w:val="00C70628"/>
    <w:pPr>
      <w:numPr>
        <w:numId w:val="34"/>
      </w:numPr>
    </w:pPr>
  </w:style>
  <w:style w:type="numbering" w:styleId="1ai">
    <w:name w:val="Outline List 1"/>
    <w:basedOn w:val="Bezlisty"/>
    <w:uiPriority w:val="99"/>
    <w:semiHidden/>
    <w:unhideWhenUsed/>
    <w:rsid w:val="00C70628"/>
    <w:pPr>
      <w:numPr>
        <w:numId w:val="35"/>
      </w:numPr>
    </w:pPr>
  </w:style>
  <w:style w:type="numbering" w:styleId="Artykusekcja">
    <w:name w:val="Outline List 3"/>
    <w:basedOn w:val="Bezlisty"/>
    <w:uiPriority w:val="99"/>
    <w:semiHidden/>
    <w:unhideWhenUsed/>
    <w:rsid w:val="00C70628"/>
    <w:pPr>
      <w:numPr>
        <w:numId w:val="36"/>
      </w:numPr>
    </w:pPr>
  </w:style>
  <w:style w:type="character" w:customStyle="1" w:styleId="Hashtag1">
    <w:name w:val="Hashtag1"/>
    <w:uiPriority w:val="99"/>
    <w:semiHidden/>
    <w:unhideWhenUsed/>
    <w:rsid w:val="00C70628"/>
    <w:rPr>
      <w:rFonts w:ascii="Segoe UI" w:hAnsi="Segoe UI" w:cs="Segoe UI"/>
      <w:color w:val="2B579A"/>
      <w:shd w:val="clear" w:color="auto" w:fill="E1DFDD"/>
    </w:rPr>
  </w:style>
  <w:style w:type="character" w:customStyle="1" w:styleId="SmartHyperlink1">
    <w:name w:val="Smart Hyperlink1"/>
    <w:uiPriority w:val="99"/>
    <w:semiHidden/>
    <w:unhideWhenUsed/>
    <w:rsid w:val="00C70628"/>
    <w:rPr>
      <w:rFonts w:ascii="Segoe UI" w:hAnsi="Segoe UI" w:cs="Segoe UI"/>
      <w:u w:val="dotted"/>
    </w:rPr>
  </w:style>
  <w:style w:type="character" w:customStyle="1" w:styleId="fontstyle01">
    <w:name w:val="fontstyle01"/>
    <w:basedOn w:val="Domylnaczcionkaakapitu"/>
    <w:rsid w:val="005B7585"/>
    <w:rPr>
      <w:rFonts w:ascii="Corbel-Bold" w:hAnsi="Corbel-Bold" w:hint="default"/>
      <w:b/>
      <w:bCs/>
      <w:i w:val="0"/>
      <w:iCs w:val="0"/>
      <w:color w:val="990000"/>
      <w:sz w:val="48"/>
      <w:szCs w:val="48"/>
    </w:rPr>
  </w:style>
  <w:style w:type="character" w:customStyle="1" w:styleId="d2edcug0">
    <w:name w:val="d2edcug0"/>
    <w:basedOn w:val="Domylnaczcionkaakapitu"/>
    <w:rsid w:val="005B7585"/>
  </w:style>
  <w:style w:type="paragraph" w:customStyle="1" w:styleId="Styl1">
    <w:name w:val="Styl1"/>
    <w:basedOn w:val="Nagwek1"/>
    <w:autoRedefine/>
    <w:qFormat/>
    <w:rsid w:val="001C5DE9"/>
    <w:pPr>
      <w:pBdr>
        <w:bottom w:val="single" w:sz="8" w:space="1" w:color="2B579A"/>
      </w:pBdr>
    </w:pPr>
  </w:style>
  <w:style w:type="paragraph" w:customStyle="1" w:styleId="Styl2">
    <w:name w:val="Styl2"/>
    <w:basedOn w:val="Nagwek1"/>
    <w:next w:val="Styl1"/>
    <w:autoRedefine/>
    <w:qFormat/>
    <w:rsid w:val="00CD430C"/>
    <w:rPr>
      <w:lang w:bidi="pl-PL"/>
    </w:rPr>
  </w:style>
  <w:style w:type="character" w:customStyle="1" w:styleId="Nierozpoznanawzmianka1">
    <w:name w:val="Nierozpoznana wzmianka1"/>
    <w:basedOn w:val="Domylnaczcionkaakapitu"/>
    <w:uiPriority w:val="99"/>
    <w:semiHidden/>
    <w:unhideWhenUsed/>
    <w:rsid w:val="008D6A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15387">
      <w:bodyDiv w:val="1"/>
      <w:marLeft w:val="0"/>
      <w:marRight w:val="0"/>
      <w:marTop w:val="0"/>
      <w:marBottom w:val="0"/>
      <w:divBdr>
        <w:top w:val="none" w:sz="0" w:space="0" w:color="auto"/>
        <w:left w:val="none" w:sz="0" w:space="0" w:color="auto"/>
        <w:bottom w:val="none" w:sz="0" w:space="0" w:color="auto"/>
        <w:right w:val="none" w:sz="0" w:space="0" w:color="auto"/>
      </w:divBdr>
    </w:div>
    <w:div w:id="134955146">
      <w:bodyDiv w:val="1"/>
      <w:marLeft w:val="0"/>
      <w:marRight w:val="0"/>
      <w:marTop w:val="0"/>
      <w:marBottom w:val="0"/>
      <w:divBdr>
        <w:top w:val="none" w:sz="0" w:space="0" w:color="auto"/>
        <w:left w:val="none" w:sz="0" w:space="0" w:color="auto"/>
        <w:bottom w:val="none" w:sz="0" w:space="0" w:color="auto"/>
        <w:right w:val="none" w:sz="0" w:space="0" w:color="auto"/>
      </w:divBdr>
    </w:div>
    <w:div w:id="203255196">
      <w:bodyDiv w:val="1"/>
      <w:marLeft w:val="0"/>
      <w:marRight w:val="0"/>
      <w:marTop w:val="0"/>
      <w:marBottom w:val="0"/>
      <w:divBdr>
        <w:top w:val="none" w:sz="0" w:space="0" w:color="auto"/>
        <w:left w:val="none" w:sz="0" w:space="0" w:color="auto"/>
        <w:bottom w:val="none" w:sz="0" w:space="0" w:color="auto"/>
        <w:right w:val="none" w:sz="0" w:space="0" w:color="auto"/>
      </w:divBdr>
    </w:div>
    <w:div w:id="275328031">
      <w:bodyDiv w:val="1"/>
      <w:marLeft w:val="0"/>
      <w:marRight w:val="0"/>
      <w:marTop w:val="0"/>
      <w:marBottom w:val="0"/>
      <w:divBdr>
        <w:top w:val="none" w:sz="0" w:space="0" w:color="auto"/>
        <w:left w:val="none" w:sz="0" w:space="0" w:color="auto"/>
        <w:bottom w:val="none" w:sz="0" w:space="0" w:color="auto"/>
        <w:right w:val="none" w:sz="0" w:space="0" w:color="auto"/>
      </w:divBdr>
    </w:div>
    <w:div w:id="361249840">
      <w:bodyDiv w:val="1"/>
      <w:marLeft w:val="0"/>
      <w:marRight w:val="0"/>
      <w:marTop w:val="0"/>
      <w:marBottom w:val="0"/>
      <w:divBdr>
        <w:top w:val="none" w:sz="0" w:space="0" w:color="auto"/>
        <w:left w:val="none" w:sz="0" w:space="0" w:color="auto"/>
        <w:bottom w:val="none" w:sz="0" w:space="0" w:color="auto"/>
        <w:right w:val="none" w:sz="0" w:space="0" w:color="auto"/>
      </w:divBdr>
    </w:div>
    <w:div w:id="622225317">
      <w:bodyDiv w:val="1"/>
      <w:marLeft w:val="0"/>
      <w:marRight w:val="0"/>
      <w:marTop w:val="0"/>
      <w:marBottom w:val="0"/>
      <w:divBdr>
        <w:top w:val="none" w:sz="0" w:space="0" w:color="auto"/>
        <w:left w:val="none" w:sz="0" w:space="0" w:color="auto"/>
        <w:bottom w:val="none" w:sz="0" w:space="0" w:color="auto"/>
        <w:right w:val="none" w:sz="0" w:space="0" w:color="auto"/>
      </w:divBdr>
    </w:div>
    <w:div w:id="922646001">
      <w:bodyDiv w:val="1"/>
      <w:marLeft w:val="0"/>
      <w:marRight w:val="0"/>
      <w:marTop w:val="0"/>
      <w:marBottom w:val="0"/>
      <w:divBdr>
        <w:top w:val="none" w:sz="0" w:space="0" w:color="auto"/>
        <w:left w:val="none" w:sz="0" w:space="0" w:color="auto"/>
        <w:bottom w:val="none" w:sz="0" w:space="0" w:color="auto"/>
        <w:right w:val="none" w:sz="0" w:space="0" w:color="auto"/>
      </w:divBdr>
    </w:div>
    <w:div w:id="1186167820">
      <w:bodyDiv w:val="1"/>
      <w:marLeft w:val="0"/>
      <w:marRight w:val="0"/>
      <w:marTop w:val="0"/>
      <w:marBottom w:val="0"/>
      <w:divBdr>
        <w:top w:val="none" w:sz="0" w:space="0" w:color="auto"/>
        <w:left w:val="none" w:sz="0" w:space="0" w:color="auto"/>
        <w:bottom w:val="none" w:sz="0" w:space="0" w:color="auto"/>
        <w:right w:val="none" w:sz="0" w:space="0" w:color="auto"/>
      </w:divBdr>
    </w:div>
    <w:div w:id="1206792808">
      <w:bodyDiv w:val="1"/>
      <w:marLeft w:val="0"/>
      <w:marRight w:val="0"/>
      <w:marTop w:val="0"/>
      <w:marBottom w:val="0"/>
      <w:divBdr>
        <w:top w:val="none" w:sz="0" w:space="0" w:color="auto"/>
        <w:left w:val="none" w:sz="0" w:space="0" w:color="auto"/>
        <w:bottom w:val="none" w:sz="0" w:space="0" w:color="auto"/>
        <w:right w:val="none" w:sz="0" w:space="0" w:color="auto"/>
      </w:divBdr>
    </w:div>
    <w:div w:id="1416169657">
      <w:bodyDiv w:val="1"/>
      <w:marLeft w:val="0"/>
      <w:marRight w:val="0"/>
      <w:marTop w:val="0"/>
      <w:marBottom w:val="0"/>
      <w:divBdr>
        <w:top w:val="none" w:sz="0" w:space="0" w:color="auto"/>
        <w:left w:val="none" w:sz="0" w:space="0" w:color="auto"/>
        <w:bottom w:val="none" w:sz="0" w:space="0" w:color="auto"/>
        <w:right w:val="none" w:sz="0" w:space="0" w:color="auto"/>
      </w:divBdr>
    </w:div>
    <w:div w:id="1422799029">
      <w:bodyDiv w:val="1"/>
      <w:marLeft w:val="0"/>
      <w:marRight w:val="0"/>
      <w:marTop w:val="0"/>
      <w:marBottom w:val="0"/>
      <w:divBdr>
        <w:top w:val="none" w:sz="0" w:space="0" w:color="auto"/>
        <w:left w:val="none" w:sz="0" w:space="0" w:color="auto"/>
        <w:bottom w:val="none" w:sz="0" w:space="0" w:color="auto"/>
        <w:right w:val="none" w:sz="0" w:space="0" w:color="auto"/>
      </w:divBdr>
    </w:div>
    <w:div w:id="1718620900">
      <w:bodyDiv w:val="1"/>
      <w:marLeft w:val="0"/>
      <w:marRight w:val="0"/>
      <w:marTop w:val="0"/>
      <w:marBottom w:val="0"/>
      <w:divBdr>
        <w:top w:val="none" w:sz="0" w:space="0" w:color="auto"/>
        <w:left w:val="none" w:sz="0" w:space="0" w:color="auto"/>
        <w:bottom w:val="none" w:sz="0" w:space="0" w:color="auto"/>
        <w:right w:val="none" w:sz="0" w:space="0" w:color="auto"/>
      </w:divBdr>
    </w:div>
    <w:div w:id="2064719165">
      <w:bodyDiv w:val="1"/>
      <w:marLeft w:val="0"/>
      <w:marRight w:val="0"/>
      <w:marTop w:val="0"/>
      <w:marBottom w:val="0"/>
      <w:divBdr>
        <w:top w:val="none" w:sz="0" w:space="0" w:color="auto"/>
        <w:left w:val="none" w:sz="0" w:space="0" w:color="auto"/>
        <w:bottom w:val="none" w:sz="0" w:space="0" w:color="auto"/>
        <w:right w:val="none" w:sz="0" w:space="0" w:color="auto"/>
      </w:divBdr>
    </w:div>
    <w:div w:id="209022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guzy\AppData\Roaming\Microsoft\Szablony\Wstawianie%20pierwszego%20spisu%20tre&#347;ci%20&#8212;%20samouczek.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8F32D9B0DFD4F11B0D5D52AD6B4B3A1"/>
        <w:category>
          <w:name w:val="Ogólne"/>
          <w:gallery w:val="placeholder"/>
        </w:category>
        <w:types>
          <w:type w:val="bbPlcHdr"/>
        </w:types>
        <w:behaviors>
          <w:behavior w:val="content"/>
        </w:behaviors>
        <w:guid w:val="{29ECC61B-6A27-489A-9574-EBD44CF1CC3C}"/>
      </w:docPartPr>
      <w:docPartBody>
        <w:p w:rsidR="00A223EB" w:rsidRDefault="005D6B40" w:rsidP="005D6B40">
          <w:pPr>
            <w:pStyle w:val="58F32D9B0DFD4F11B0D5D52AD6B4B3A1"/>
          </w:pPr>
          <w:r>
            <w:rPr>
              <w:color w:val="4472C4" w:themeColor="accent1"/>
            </w:rPr>
            <w:t>[Tytuł dokumentu]</w:t>
          </w:r>
        </w:p>
      </w:docPartBody>
    </w:docPart>
    <w:docPart>
      <w:docPartPr>
        <w:name w:val="7DC5382A64CC48FB9AEB1417182BADA6"/>
        <w:category>
          <w:name w:val="Ogólne"/>
          <w:gallery w:val="placeholder"/>
        </w:category>
        <w:types>
          <w:type w:val="bbPlcHdr"/>
        </w:types>
        <w:behaviors>
          <w:behavior w:val="content"/>
        </w:behaviors>
        <w:guid w:val="{358F7621-AF58-4F86-A7CE-97B2F05F700A}"/>
      </w:docPartPr>
      <w:docPartBody>
        <w:p w:rsidR="00A223EB" w:rsidRDefault="005D6B40" w:rsidP="005D6B40">
          <w:pPr>
            <w:pStyle w:val="7DC5382A64CC48FB9AEB1417182BADA6"/>
          </w:pPr>
          <w:r>
            <w:t>[Nazwisko autora]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Light">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Corbel-Bold">
    <w:altName w:val="Times New Roman"/>
    <w:panose1 w:val="00000000000000000000"/>
    <w:charset w:val="00"/>
    <w:family w:val="roman"/>
    <w:notTrueType/>
    <w:pitch w:val="default"/>
  </w:font>
  <w:font w:name="Corbel">
    <w:panose1 w:val="020B0503020204020204"/>
    <w:charset w:val="EE"/>
    <w:family w:val="swiss"/>
    <w:pitch w:val="variable"/>
    <w:sig w:usb0="A00002EF" w:usb1="4000A44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B40"/>
    <w:rsid w:val="00036476"/>
    <w:rsid w:val="00351DDC"/>
    <w:rsid w:val="005163BC"/>
    <w:rsid w:val="005B3582"/>
    <w:rsid w:val="005D6B40"/>
    <w:rsid w:val="005E052E"/>
    <w:rsid w:val="005F3DA0"/>
    <w:rsid w:val="0069525D"/>
    <w:rsid w:val="0095603D"/>
    <w:rsid w:val="0099444B"/>
    <w:rsid w:val="00A223EB"/>
    <w:rsid w:val="00AC7F33"/>
    <w:rsid w:val="00C860E2"/>
    <w:rsid w:val="00E778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8F32D9B0DFD4F11B0D5D52AD6B4B3A1">
    <w:name w:val="58F32D9B0DFD4F11B0D5D52AD6B4B3A1"/>
    <w:rsid w:val="005D6B40"/>
  </w:style>
  <w:style w:type="paragraph" w:customStyle="1" w:styleId="7DC5382A64CC48FB9AEB1417182BADA6">
    <w:name w:val="7DC5382A64CC48FB9AEB1417182BADA6"/>
    <w:rsid w:val="005D6B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Win32TaT">
  <a:themeElements>
    <a:clrScheme name="Custom 1">
      <a:dk1>
        <a:sysClr val="windowText" lastClr="000000"/>
      </a:dk1>
      <a:lt1>
        <a:sysClr val="window" lastClr="FFFFFF"/>
      </a:lt1>
      <a:dk2>
        <a:srgbClr val="44546A"/>
      </a:dk2>
      <a:lt2>
        <a:srgbClr val="E7E6E6"/>
      </a:lt2>
      <a:accent1>
        <a:srgbClr val="5B9BD5"/>
      </a:accent1>
      <a:accent2>
        <a:srgbClr val="FF0000"/>
      </a:accent2>
      <a:accent3>
        <a:srgbClr val="A5A5A5"/>
      </a:accent3>
      <a:accent4>
        <a:srgbClr val="FFC000"/>
      </a:accent4>
      <a:accent5>
        <a:srgbClr val="2B579A"/>
      </a:accent5>
      <a:accent6>
        <a:srgbClr val="70AD47"/>
      </a:accent6>
      <a:hlink>
        <a:srgbClr val="0563C1"/>
      </a:hlink>
      <a:folHlink>
        <a:srgbClr val="954F72"/>
      </a:folHlink>
    </a:clrScheme>
    <a:fontScheme name="Custom 1">
      <a:majorFont>
        <a:latin typeface="Segoe UI Light"/>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487A1-8F79-4595-BA62-53A63B612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Wstawianie pierwszego spisu treści — samouczek</Template>
  <TotalTime>0</TotalTime>
  <Pages>1</Pages>
  <Words>7440</Words>
  <Characters>44644</Characters>
  <Application>Microsoft Office Word</Application>
  <DocSecurity>0</DocSecurity>
  <Lines>372</Lines>
  <Paragraphs>103</Paragraphs>
  <ScaleCrop>false</ScaleCrop>
  <HeadingPairs>
    <vt:vector size="2" baseType="variant">
      <vt:variant>
        <vt:lpstr>Tytuł</vt:lpstr>
      </vt:variant>
      <vt:variant>
        <vt:i4>1</vt:i4>
      </vt:variant>
    </vt:vector>
  </HeadingPairs>
  <TitlesOfParts>
    <vt:vector size="1" baseType="lpstr">
      <vt:lpstr>Migracje artystyczne w XIX, XX i XXI wieku</vt:lpstr>
    </vt:vector>
  </TitlesOfParts>
  <Company/>
  <LinksUpToDate>false</LinksUpToDate>
  <CharactersWithSpaces>51981</CharactersWithSpaces>
  <SharedDoc>false</SharedDoc>
  <HLinks>
    <vt:vector size="6" baseType="variant">
      <vt:variant>
        <vt:i4>2228338</vt:i4>
      </vt:variant>
      <vt:variant>
        <vt:i4>0</vt:i4>
      </vt:variant>
      <vt:variant>
        <vt:i4>0</vt:i4>
      </vt:variant>
      <vt:variant>
        <vt:i4>5</vt:i4>
      </vt:variant>
      <vt:variant>
        <vt:lpwstr>https://go.microsoft.com/fwlink/?linkid=2027721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Migracje artystyczne w XIX, XX i XXI wieku</dc:title>
  <dc:subject/>
  <dc:creator/>
  <cp:keywords/>
  <dc:description/>
  <cp:lastModifiedBy/>
  <cp:revision>1</cp:revision>
  <dcterms:created xsi:type="dcterms:W3CDTF">2024-09-26T10:50:00Z</dcterms:created>
  <dcterms:modified xsi:type="dcterms:W3CDTF">2024-09-26T11:33:00Z</dcterms:modified>
</cp:coreProperties>
</file>